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B6198">
      <w:pPr>
        <w:spacing w:before="480" w:after="48" w:line="360" w:lineRule="auto"/>
        <w:ind w:right="-315" w:rightChars="-150" w:firstLine="0" w:firstLineChars="0"/>
        <w:jc w:val="center"/>
        <w:rPr>
          <w:rFonts w:ascii="微软雅黑" w:hAnsi="微软雅黑" w:cs="微软雅黑"/>
          <w:sz w:val="44"/>
          <w:szCs w:val="44"/>
        </w:rPr>
      </w:pPr>
      <w:bookmarkStart w:id="19" w:name="_GoBack"/>
      <w:bookmarkEnd w:id="19"/>
      <w:r>
        <w:rPr>
          <w:rFonts w:hint="eastAsia" w:ascii="微软雅黑" w:hAnsi="微软雅黑" w:cs="微软雅黑"/>
          <w:b/>
          <w:sz w:val="44"/>
          <w:szCs w:val="44"/>
        </w:rPr>
        <w:t>中间库建设项目需求书</w:t>
      </w:r>
    </w:p>
    <w:p w14:paraId="2EDFEF0C">
      <w:pPr>
        <w:pStyle w:val="2"/>
        <w:spacing w:before="120" w:after="48"/>
      </w:pPr>
      <w:bookmarkStart w:id="0" w:name="heading_1"/>
      <w:r>
        <w:t>项目概况</w:t>
      </w:r>
      <w:bookmarkEnd w:id="0"/>
    </w:p>
    <w:p w14:paraId="2145CB96">
      <w:pPr>
        <w:pStyle w:val="3"/>
        <w:spacing w:before="120" w:after="48"/>
      </w:pPr>
      <w:bookmarkStart w:id="1" w:name="heading_2"/>
      <w:r>
        <w:t>项目背景</w:t>
      </w:r>
      <w:bookmarkEnd w:id="1"/>
    </w:p>
    <w:p w14:paraId="37F0A899">
      <w:pPr>
        <w:spacing w:after="48"/>
        <w:ind w:firstLine="420"/>
      </w:pPr>
      <w:r>
        <w:t>肇庆市中级人民法院在审判执行工作中，始终致力于推进信息化建设，但当前诉讼材料管理仍存在电子卷宗随案生成不同步、纸电材料流转脱节、中间库管理未实现集约闭环等问题，与广东省高级人民法院《广东法院电子卷宗随案生成与应用管理规定(试行)》（粤高法〔2025〕100号）中“安全可信、随案同步、集约闭环、赋能审判”的核心原则要求存在差距。为深入贯彻省高院文件精神，落实电子卷宗随案生成与应用的全流程规范，打通全流程信息化协同壁垒，解决诉讼材料接收、扫描、编目、流转、存储等环节的管理痛点，补齐中间库建设短板，亟需建设标准化、智能化的中间库项目，推动诉讼材料管理向数字化、集约化、闭环化转型，实现与省高院电子卷宗管理要求全面衔接，为审判执行工作高质量发展提供支撑。</w:t>
      </w:r>
    </w:p>
    <w:p w14:paraId="07B2F559">
      <w:pPr>
        <w:pStyle w:val="3"/>
        <w:spacing w:before="120" w:after="48"/>
      </w:pPr>
      <w:bookmarkStart w:id="2" w:name="heading_3"/>
      <w:r>
        <w:t>建设目标</w:t>
      </w:r>
      <w:bookmarkEnd w:id="2"/>
    </w:p>
    <w:p w14:paraId="2E0AFFC5">
      <w:pPr>
        <w:numPr>
          <w:ilvl w:val="0"/>
          <w:numId w:val="0"/>
        </w:numPr>
        <w:spacing w:after="48"/>
        <w:ind w:firstLine="420" w:firstLineChars="200"/>
      </w:pPr>
      <w:r>
        <w:t>效率提升：严格遵循“随案同步”原则，减少人工重复劳动，释放司法办案核心精力。</w:t>
      </w:r>
    </w:p>
    <w:p w14:paraId="47BC6FC6">
      <w:pPr>
        <w:numPr>
          <w:ilvl w:val="0"/>
          <w:numId w:val="0"/>
        </w:numPr>
        <w:spacing w:after="48"/>
        <w:ind w:firstLine="420" w:firstLineChars="200"/>
      </w:pPr>
      <w:r>
        <w:t>管理规范：落实“集约闭环”要求，建立诉讼材料“一卷一码”全生命周期管理体系，严格执行《诉讼材料入库清单》标准，入库、借阅、归档等全流程系统留痕，责任精准界定，符合省高院中间库管理工作规范。</w:t>
      </w:r>
    </w:p>
    <w:p w14:paraId="1B3FAEFD">
      <w:pPr>
        <w:numPr>
          <w:ilvl w:val="0"/>
          <w:numId w:val="0"/>
        </w:numPr>
        <w:spacing w:after="48"/>
        <w:ind w:firstLine="420" w:firstLineChars="200"/>
      </w:pPr>
      <w:r>
        <w:t>协同互通：实现与院内现有审判系统、国家“一张网”系统无缝对接，打破信息孤岛，推动“立、审、执”电子卷宗与实物材料数据实时共享，提升协同办案效率，支撑无纸化移送与在线办案。</w:t>
      </w:r>
    </w:p>
    <w:p w14:paraId="01F7E0D7">
      <w:pPr>
        <w:numPr>
          <w:ilvl w:val="0"/>
          <w:numId w:val="0"/>
        </w:numPr>
        <w:spacing w:after="48"/>
        <w:ind w:firstLine="420" w:firstLineChars="200"/>
      </w:pPr>
      <w:r>
        <w:t>服务优化：践行“司法为民”宗旨，优化当事人材料提交渠道，通过智能呼叫通知避免跑空；严格落实“纸质材料收取统一入口”原则，提升材料提交、领取效率，增强群众对法院工作的认可度。</w:t>
      </w:r>
    </w:p>
    <w:p w14:paraId="3ECE1373">
      <w:pPr>
        <w:numPr>
          <w:ilvl w:val="0"/>
          <w:numId w:val="0"/>
        </w:numPr>
        <w:spacing w:after="48"/>
        <w:ind w:firstLine="420" w:firstLineChars="200"/>
      </w:pPr>
      <w:r>
        <w:t>合规达标：全面契合粤高法〔2025〕100号文件</w:t>
      </w:r>
      <w:r>
        <w:rPr>
          <w:rFonts w:hint="eastAsia"/>
        </w:rPr>
        <w:t>精神</w:t>
      </w:r>
      <w:r>
        <w:t>，满足电子卷宗“四性”（真实、完整、有效、安全）要求，落实最高法“智慧法院”建设部署，杜绝政策合规风险。</w:t>
      </w:r>
    </w:p>
    <w:p w14:paraId="6622C882">
      <w:pPr>
        <w:pStyle w:val="3"/>
        <w:spacing w:before="120" w:after="48"/>
      </w:pPr>
      <w:bookmarkStart w:id="3" w:name="heading_4"/>
      <w:r>
        <w:t>建设地点</w:t>
      </w:r>
      <w:bookmarkEnd w:id="3"/>
    </w:p>
    <w:p w14:paraId="0F5932C6">
      <w:pPr>
        <w:spacing w:after="48"/>
        <w:ind w:firstLine="420"/>
      </w:pPr>
      <w:r>
        <w:t>肇庆市中级人民法院</w:t>
      </w:r>
      <w:r>
        <w:rPr>
          <w:rFonts w:hint="eastAsia"/>
          <w:lang w:eastAsia="zh-CN"/>
        </w:rPr>
        <w:t>内</w:t>
      </w:r>
      <w:r>
        <w:t>。</w:t>
      </w:r>
    </w:p>
    <w:p w14:paraId="4A0DC1F8">
      <w:pPr>
        <w:pStyle w:val="3"/>
        <w:spacing w:before="120" w:after="48"/>
      </w:pPr>
      <w:bookmarkStart w:id="4" w:name="heading_5"/>
      <w:r>
        <w:t>项目预算</w:t>
      </w:r>
      <w:bookmarkEnd w:id="4"/>
    </w:p>
    <w:p w14:paraId="5A99E11D">
      <w:pPr>
        <w:spacing w:after="48"/>
        <w:ind w:firstLine="420"/>
      </w:pPr>
      <w:r>
        <w:t>本项目</w:t>
      </w:r>
      <w:r>
        <w:rPr>
          <w:rFonts w:hint="eastAsia"/>
          <w:lang w:eastAsia="zh-CN"/>
        </w:rPr>
        <w:t>最高控件价</w:t>
      </w:r>
      <w:r>
        <w:t>为人民币</w:t>
      </w:r>
      <w:r>
        <w:rPr>
          <w:rFonts w:hint="eastAsia"/>
          <w:highlight w:val="yellow"/>
        </w:rPr>
        <w:t>7</w:t>
      </w:r>
      <w:r>
        <w:rPr>
          <w:rFonts w:hint="eastAsia"/>
          <w:highlight w:val="yellow"/>
          <w:lang w:val="en-US" w:eastAsia="zh-CN"/>
        </w:rPr>
        <w:t>0</w:t>
      </w:r>
      <w:r>
        <w:rPr>
          <w:rFonts w:hint="eastAsia"/>
          <w:highlight w:val="yellow"/>
        </w:rPr>
        <w:t>0000</w:t>
      </w:r>
      <w:r>
        <w:rPr>
          <w:highlight w:val="yellow"/>
        </w:rPr>
        <w:t>元</w:t>
      </w:r>
      <w:r>
        <w:rPr>
          <w:rFonts w:hint="eastAsia"/>
          <w:highlight w:val="yellow"/>
          <w:lang w:eastAsia="zh-CN"/>
        </w:rPr>
        <w:t>（柒拾万元整）</w:t>
      </w:r>
      <w:r>
        <w:t>，包含软件系统的供应与实施、智能硬件采购、配套终端设备采购、集成联调服务等所有相关费用，为项目包干总价，无其他额外费用。</w:t>
      </w:r>
    </w:p>
    <w:p w14:paraId="4BC504CD">
      <w:pPr>
        <w:pStyle w:val="3"/>
        <w:spacing w:before="120" w:after="48"/>
      </w:pPr>
      <w:bookmarkStart w:id="5" w:name="heading_6"/>
      <w:r>
        <w:t>建设范围</w:t>
      </w:r>
      <w:bookmarkEnd w:id="5"/>
    </w:p>
    <w:p w14:paraId="3924085E">
      <w:pPr>
        <w:spacing w:after="48"/>
        <w:ind w:firstLine="420"/>
      </w:pPr>
      <w:r>
        <w:t>本项目建设范围包含硬件设备供应、系统软件开发授权与实施联调、一张网”协同助手”配套服务</w:t>
      </w:r>
      <w:r>
        <w:rPr>
          <w:rFonts w:hint="eastAsia"/>
        </w:rPr>
        <w:t>、纸质材料全流程收转及中间库出入库管理配套服务</w:t>
      </w:r>
      <w:r>
        <w:t>四大核心部分，所有建设内容需严格遵循省高院电子卷宗管理相关标准，实现一体化协同运行，无兼容性问题，贴合肇庆中院审判执行实际办案流程与场地使用需求。</w:t>
      </w:r>
    </w:p>
    <w:p w14:paraId="2724CCA0">
      <w:pPr>
        <w:spacing w:after="48"/>
        <w:ind w:firstLine="420"/>
      </w:pPr>
    </w:p>
    <w:p w14:paraId="03F65A2D">
      <w:pPr>
        <w:spacing w:after="48"/>
        <w:ind w:firstLine="0" w:firstLineChars="0"/>
      </w:pPr>
    </w:p>
    <w:p w14:paraId="7FE5AAAF">
      <w:pPr>
        <w:pStyle w:val="2"/>
        <w:spacing w:before="120" w:after="48"/>
      </w:pPr>
      <w:bookmarkStart w:id="6" w:name="heading_8"/>
      <w:r>
        <w:t>核心建设内容</w:t>
      </w:r>
      <w:bookmarkEnd w:id="6"/>
    </w:p>
    <w:p w14:paraId="540E8D4E">
      <w:pPr>
        <w:spacing w:after="48"/>
        <w:ind w:firstLine="420"/>
      </w:pPr>
      <w:r>
        <w:t>本项目内容包含硬件设备、系统软件、一张网”协同配套助手</w:t>
      </w:r>
      <w:r>
        <w:rPr>
          <w:rFonts w:hint="eastAsia"/>
        </w:rPr>
        <w:t>、</w:t>
      </w:r>
      <w:r>
        <w:t>实施与联调及</w:t>
      </w:r>
      <w:r>
        <w:rPr>
          <w:rFonts w:hint="eastAsia"/>
        </w:rPr>
        <w:t>纸质材料全流程收转及中间库出入库管理配套服务</w:t>
      </w:r>
      <w:r>
        <w:t>服务四大核心部分，所有内容需实现一体化协同运行，无兼容问题。其中：</w:t>
      </w:r>
    </w:p>
    <w:p w14:paraId="5682DC16">
      <w:pPr>
        <w:pStyle w:val="3"/>
        <w:spacing w:before="120" w:after="48"/>
      </w:pPr>
      <w:bookmarkStart w:id="7" w:name="heading_9"/>
      <w:r>
        <w:t>硬件设备</w:t>
      </w:r>
      <w:bookmarkEnd w:id="7"/>
    </w:p>
    <w:p w14:paraId="277B2015">
      <w:pPr>
        <w:pStyle w:val="4"/>
        <w:spacing w:before="120" w:after="48"/>
      </w:pPr>
      <w:bookmarkStart w:id="8" w:name="heading_10"/>
      <w:r>
        <w:t>案卷材料智能存储柜2-200（</w:t>
      </w:r>
      <w:r>
        <w:rPr>
          <w:rFonts w:hint="eastAsia"/>
        </w:rPr>
        <w:t>10</w:t>
      </w:r>
      <w:r>
        <w:t>套）</w:t>
      </w:r>
      <w:bookmarkEnd w:id="8"/>
    </w:p>
    <w:tbl>
      <w:tblPr>
        <w:tblStyle w:val="8"/>
        <w:tblW w:w="8981"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550"/>
        <w:gridCol w:w="1682"/>
        <w:gridCol w:w="6749"/>
      </w:tblGrid>
      <w:tr w14:paraId="2525E8C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blHeade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55D8FCA">
            <w:pPr>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序号</w:t>
            </w:r>
          </w:p>
        </w:tc>
        <w:tc>
          <w:tcPr>
            <w:tcW w:w="168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B36CE80">
            <w:pPr>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参数类别</w:t>
            </w:r>
          </w:p>
        </w:tc>
        <w:tc>
          <w:tcPr>
            <w:tcW w:w="67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152C720">
            <w:pPr>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指标要求</w:t>
            </w:r>
          </w:p>
        </w:tc>
      </w:tr>
      <w:tr w14:paraId="22E4D9B0">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26388A2">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1)</w:t>
            </w:r>
          </w:p>
        </w:tc>
        <w:tc>
          <w:tcPr>
            <w:tcW w:w="168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9FEFBCC">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主体与侧板</w:t>
            </w:r>
          </w:p>
        </w:tc>
        <w:tc>
          <w:tcPr>
            <w:tcW w:w="67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0EA4FE8">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1、智能存储柜主体为灰色；侧板为过道边位配置，可拆卸，含造型和灯光设计、LED灯条；</w:t>
            </w:r>
          </w:p>
        </w:tc>
      </w:tr>
      <w:tr w14:paraId="7633C4D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A3807A0">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2)</w:t>
            </w:r>
          </w:p>
        </w:tc>
        <w:tc>
          <w:tcPr>
            <w:tcW w:w="168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2B8E6CD">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案卷盒配置</w:t>
            </w:r>
          </w:p>
        </w:tc>
        <w:tc>
          <w:tcPr>
            <w:tcW w:w="67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46D155B">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1、配备不小于22mm厚度案卷盒，含设计与彩色印制、铆装锁扣；2、支持一盒多案，适配《诉讼材料入库清单》所列各类材料存储需求。</w:t>
            </w:r>
          </w:p>
        </w:tc>
      </w:tr>
      <w:tr w14:paraId="165DEC5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ECEB982">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3)</w:t>
            </w:r>
          </w:p>
        </w:tc>
        <w:tc>
          <w:tcPr>
            <w:tcW w:w="168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35A9AFD">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电控锁与锁控板</w:t>
            </w:r>
          </w:p>
        </w:tc>
        <w:tc>
          <w:tcPr>
            <w:tcW w:w="67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3E7E265">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1、配置带反馈的电控锁；（工作原理说明 + 产品检测报告 / 厂家技术参数证明）</w:t>
            </w:r>
          </w:p>
          <w:p w14:paraId="0BC13F74">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2、配备锁控板，用于控制智能存储柜电控锁等相关部件，支持与中间库管理系统联动管控。</w:t>
            </w:r>
          </w:p>
        </w:tc>
      </w:tr>
      <w:tr w14:paraId="7F05E5C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8B290BB">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4)</w:t>
            </w:r>
          </w:p>
        </w:tc>
        <w:tc>
          <w:tcPr>
            <w:tcW w:w="168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0FA78C0">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配套线材与理线</w:t>
            </w:r>
          </w:p>
        </w:tc>
        <w:tc>
          <w:tcPr>
            <w:tcW w:w="67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6EA534D">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含红黑并线、蓝白排线、电源线线扎、固定贴等全套线材；理线整齐且专业，方便后期维护与检修。</w:t>
            </w:r>
          </w:p>
        </w:tc>
      </w:tr>
      <w:tr w14:paraId="4F4B48D0">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3A8E672">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5)</w:t>
            </w:r>
          </w:p>
        </w:tc>
        <w:tc>
          <w:tcPr>
            <w:tcW w:w="168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11D94D5">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亚克力板与顶杆</w:t>
            </w:r>
          </w:p>
        </w:tc>
        <w:tc>
          <w:tcPr>
            <w:tcW w:w="67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25ACA48">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上下配置亚克力板，用于封装LED灯及中间封装灯珠。</w:t>
            </w:r>
          </w:p>
        </w:tc>
      </w:tr>
      <w:tr w14:paraId="14AC550C">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A7F6FB7">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6)</w:t>
            </w:r>
          </w:p>
        </w:tc>
        <w:tc>
          <w:tcPr>
            <w:tcW w:w="168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C7E05E9">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灯光系统</w:t>
            </w:r>
          </w:p>
        </w:tc>
        <w:tc>
          <w:tcPr>
            <w:tcW w:w="67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3AB007E">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1、上下配置LED灯条及灯珠；2、支持灯光智能控制，可根据现场光线自动控制LED条开关。</w:t>
            </w:r>
          </w:p>
        </w:tc>
      </w:tr>
      <w:tr w14:paraId="1127B5C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02B35AE">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7)</w:t>
            </w:r>
          </w:p>
        </w:tc>
        <w:tc>
          <w:tcPr>
            <w:tcW w:w="168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5C59F80">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供电配置</w:t>
            </w:r>
          </w:p>
        </w:tc>
        <w:tc>
          <w:tcPr>
            <w:tcW w:w="674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74051F1">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配备足够数量的电源，保障设备各部件稳定供电，满足7×24小时运行需求。</w:t>
            </w:r>
          </w:p>
        </w:tc>
      </w:tr>
      <w:tr w14:paraId="3965D6F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0" w:type="auto"/>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64F31A6B">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8)</w:t>
            </w:r>
          </w:p>
        </w:tc>
        <w:tc>
          <w:tcPr>
            <w:tcW w:w="1682"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6E3144CA">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智能控制</w:t>
            </w:r>
          </w:p>
        </w:tc>
        <w:tc>
          <w:tcPr>
            <w:tcW w:w="674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452345E">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中间库管理系统可配置与管控该智能存储柜，实现入库、出库、借阅等全流程联动，支持库存状态实时同步。</w:t>
            </w:r>
          </w:p>
        </w:tc>
      </w:tr>
    </w:tbl>
    <w:p w14:paraId="2294DF9E">
      <w:pPr>
        <w:pStyle w:val="4"/>
        <w:spacing w:before="120" w:after="48"/>
      </w:pPr>
      <w:bookmarkStart w:id="9" w:name="heading_11"/>
      <w:r>
        <w:t>智控全能一体化移动集控台（</w:t>
      </w:r>
      <w:r>
        <w:rPr>
          <w:rFonts w:hint="eastAsia"/>
        </w:rPr>
        <w:t>1</w:t>
      </w:r>
      <w:r>
        <w:t>台）</w:t>
      </w:r>
      <w:bookmarkEnd w:id="9"/>
    </w:p>
    <w:tbl>
      <w:tblPr>
        <w:tblStyle w:val="8"/>
        <w:tblW w:w="8968"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673"/>
        <w:gridCol w:w="1553"/>
        <w:gridCol w:w="6742"/>
      </w:tblGrid>
      <w:tr w14:paraId="00A94CDC">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blHeade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4E76284">
            <w:pPr>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序号</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904A73C">
            <w:pPr>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参数类别</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735BCF7">
            <w:pPr>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指标要求</w:t>
            </w:r>
          </w:p>
        </w:tc>
      </w:tr>
      <w:tr w14:paraId="491B8A8C">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B3B7B65">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1)</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3F602C9">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主机配置</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A414CC4">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采用低功耗主机，内存≥16GB，存储介质为SSD固态硬盘，容量≥256GB，保障设备运行的稳定性与数据处理效率，支持多用户同时操作。</w:t>
            </w:r>
          </w:p>
        </w:tc>
      </w:tr>
      <w:tr w14:paraId="281C4DF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BE6F05C">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2)</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E56C314">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显示触控屏</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171D711">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配备多点触控触摸屏，屏幕尺寸≥13.3英寸，配置超清屏，确保显示清晰度与触控灵敏度，满足扫描编目、材料登记等多场景操作需求。</w:t>
            </w:r>
          </w:p>
        </w:tc>
      </w:tr>
      <w:tr w14:paraId="5976C5F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A0A6BBF">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3)</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FA337AC">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扫描模块</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104F583">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集成嵌入式二维码扫描器，需同时支持条形码、二维码识别，扫描响应迅速、识别准确率≥99.9%，适配省高院电子卷宗编目标准对应的编码格式。</w:t>
            </w:r>
          </w:p>
        </w:tc>
      </w:tr>
      <w:tr w14:paraId="2DB1F81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BE5FACC">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4)</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1BCE46F">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嵌入式电子秤</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49652CF">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集成嵌入式电子秤，量程≥5kg，称量精度≤0.1g，支持RS485通信协议，须与系统深度协同，实现称重数据实时上传与联动控制；并实现数据接入材料智能流转与存储系统和智慧案件中间库管理系统，用于核对案卷完整性。（工作原理说明 + 产品检测报告 / 厂家技术参数证明）</w:t>
            </w:r>
          </w:p>
        </w:tc>
      </w:tr>
      <w:tr w14:paraId="15B8B991">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2227D30">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5)</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2FCD019">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智能排序模块</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7013C43">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具备智能排序功能和物理间隔，嵌入排序指示灯，亮度充足、指示清晰，可精准反馈排序状态信息，支持多批次材料按案件优先级排序。（工作原理说明 + 产品检测报告 / 厂家技术参数证明）</w:t>
            </w:r>
          </w:p>
        </w:tc>
      </w:tr>
      <w:tr w14:paraId="40C2D13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756AA7C">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6)</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1AD1BB5">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控制开关</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C22169F">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配备隐藏式金属按钮开关，具备自复位功能；同时配置独立应急开关，确保设备异常时可紧急操作。</w:t>
            </w:r>
          </w:p>
        </w:tc>
      </w:tr>
      <w:tr w14:paraId="486A058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4E6E686">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7)</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B10ECE2">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电磁门锁</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FECEE65">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配置DC24V电磁门锁，门锁吸力≥8kg，具备可靠的锁闭性能与防撬能力，保障设备内部组件及存储物品的安全性。</w:t>
            </w:r>
          </w:p>
        </w:tc>
      </w:tr>
      <w:tr w14:paraId="4EB453ED">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996CD6F">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8)</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D156483">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稳压模块</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B95C9A5">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集成移动电源稳压模块，支持24V动态稳压输出，具备电压波动自适应调节能力，确保设备各组件供电稳定。</w:t>
            </w:r>
          </w:p>
        </w:tc>
      </w:tr>
      <w:tr w14:paraId="36CC5F0C">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39614EB">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9)</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E3305E8">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通信模块</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6E904FF">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配备通信模块，搭配433MHz吸盘天线（增益≥3dB），无障碍物环境下有效传输距离≥6m，保障数据传输的稳定性与可靠性。（工作原理说明 + 产品检测报告 / 厂家技术参数证明）</w:t>
            </w:r>
          </w:p>
        </w:tc>
      </w:tr>
      <w:tr w14:paraId="0F83BEC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8521482">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10)</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3D3096A">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移动电源</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324DA5F">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配置24V移动电源，容量≥20AH，具备长效续航能力，可在无外接电源场景下为设备提供持续供电支持。</w:t>
            </w:r>
          </w:p>
        </w:tc>
      </w:tr>
      <w:tr w14:paraId="717F2E5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F47CC30">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11)</w:t>
            </w:r>
          </w:p>
        </w:tc>
        <w:tc>
          <w:tcPr>
            <w:tcW w:w="155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135EAB9">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无线充电模组</w:t>
            </w:r>
          </w:p>
        </w:tc>
        <w:tc>
          <w:tcPr>
            <w:tcW w:w="6742"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9DCA160">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集成无线充电模组，具备充电状态智能检测功能，支持充满自停模式，避免过充损伤，保障充电安全性与可靠性。（工作原理说明 + 产品检测报告 / 厂家技术参数证明）</w:t>
            </w:r>
          </w:p>
        </w:tc>
      </w:tr>
      <w:tr w14:paraId="4DF452B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673"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46D2A8CB">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12)</w:t>
            </w:r>
          </w:p>
        </w:tc>
        <w:tc>
          <w:tcPr>
            <w:tcW w:w="1553"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402729AD">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移动脚轮</w:t>
            </w:r>
          </w:p>
        </w:tc>
        <w:tc>
          <w:tcPr>
            <w:tcW w:w="674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6D712249">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配备定向轮2个、万向轮2个，单个脚轮承重≥40kg，具备灵活转向与稳定承重能力，适配法院多区域作业需求。</w:t>
            </w:r>
          </w:p>
        </w:tc>
      </w:tr>
    </w:tbl>
    <w:p w14:paraId="532060B3">
      <w:pPr>
        <w:pStyle w:val="4"/>
        <w:spacing w:before="120" w:after="48"/>
      </w:pPr>
      <w:bookmarkStart w:id="10" w:name="heading_12"/>
      <w:r>
        <w:t>配套硬件设备及集成</w:t>
      </w:r>
      <w:bookmarkEnd w:id="10"/>
    </w:p>
    <w:p w14:paraId="6BE5AD8A">
      <w:pPr>
        <w:numPr>
          <w:ilvl w:val="0"/>
          <w:numId w:val="0"/>
        </w:numPr>
        <w:spacing w:after="48"/>
        <w:ind w:firstLine="420" w:firstLineChars="200"/>
      </w:pPr>
      <w:r>
        <w:t>热敏二维码打印机：</w:t>
      </w:r>
      <w:r>
        <w:rPr>
          <w:rFonts w:hint="eastAsia"/>
        </w:rPr>
        <w:t>1</w:t>
      </w:r>
      <w:r>
        <w:t>台，支持宽幅打印，适配省高院电子卷宗编目标准对应的二维码标签打印；采用热敏打印技术，分辨率清晰，支持7×24小时连续打印；扫码后自动同步出入库登记信息，无需手动录入，用于生成诉讼材料溯源二维码，实现全流程追溯。</w:t>
      </w:r>
    </w:p>
    <w:p w14:paraId="76B2D066">
      <w:pPr>
        <w:numPr>
          <w:ilvl w:val="0"/>
          <w:numId w:val="0"/>
        </w:numPr>
        <w:spacing w:after="48"/>
        <w:ind w:firstLine="420" w:firstLineChars="200"/>
      </w:pPr>
      <w:r>
        <w:rPr>
          <w:rFonts w:hint="eastAsia"/>
        </w:rPr>
        <w:t>65寸液晶显示屏：1台，</w:t>
      </w:r>
      <w:r>
        <w:t>非触摸式智能显示终端， 4K 超高清规格，显示效果清晰、可视角度广，搭载四核处理器及 4GB+32GB 存储配置，支持多窗口分屏显示，接口类型丰富且内置立体扬声器；用于法院中间库区域</w:t>
      </w:r>
      <w:r>
        <w:rPr>
          <w:rFonts w:hint="eastAsia"/>
        </w:rPr>
        <w:t>大数据展示</w:t>
      </w:r>
      <w:r>
        <w:t>，满足可视化信息展示需求。</w:t>
      </w:r>
    </w:p>
    <w:p w14:paraId="32CE486C">
      <w:pPr>
        <w:numPr>
          <w:ilvl w:val="0"/>
          <w:numId w:val="0"/>
        </w:numPr>
        <w:spacing w:after="48"/>
        <w:ind w:firstLine="420" w:firstLineChars="200"/>
      </w:pPr>
      <w:r>
        <w:t>二维码阅读器</w:t>
      </w:r>
      <w:r>
        <w:rPr>
          <w:rFonts w:hint="eastAsia"/>
        </w:rPr>
        <w:t>：1台，</w:t>
      </w:r>
      <w:r>
        <w:t>作为扫码识别与数据传输终端，支持主流 二维码识读，可识别屏幕、纸质介质条码，具备识别速度快、识读距离适配的特点，支持自动感应</w:t>
      </w:r>
      <w:r>
        <w:rPr>
          <w:rFonts w:hint="eastAsia"/>
        </w:rPr>
        <w:t>模</w:t>
      </w:r>
      <w:r>
        <w:t>式，实现扫码数据实时传输，包含二次开发接入服务；为法院中间库卷宗流转、设备呼叫等场景提供精准、高效的扫码识别与数据采集支撑。</w:t>
      </w:r>
    </w:p>
    <w:p w14:paraId="678109A0">
      <w:pPr>
        <w:numPr>
          <w:ilvl w:val="0"/>
          <w:numId w:val="0"/>
        </w:numPr>
        <w:spacing w:after="48"/>
        <w:ind w:firstLine="420" w:firstLineChars="200"/>
      </w:pPr>
      <w:r>
        <w:rPr>
          <w:rFonts w:hint="eastAsia"/>
        </w:rPr>
        <w:t>工控机：1台，</w:t>
      </w:r>
      <w:r>
        <w:t>法院中间库配套的核心计算处理硬件，机身小巧，搭载 Intel 酷睿 I5 处理器，配备 4GB 内存与 128G 固态硬盘，支持 Windows、Linux 等多操作系统，网络接口丰富（双千兆网卡、2.4G/5G WIFI），显示与电源适配性强；作为中间库硬件系统的算力核心，为各类配套设备的运行、数据处理、系统对接及网络通信提供稳定的硬件支撑。</w:t>
      </w:r>
    </w:p>
    <w:p w14:paraId="2E5661DA">
      <w:pPr>
        <w:spacing w:after="48" w:line="360" w:lineRule="auto"/>
        <w:ind w:firstLine="0" w:firstLineChars="0"/>
      </w:pPr>
    </w:p>
    <w:p w14:paraId="3970A358">
      <w:pPr>
        <w:pStyle w:val="3"/>
        <w:spacing w:before="120" w:after="48"/>
      </w:pPr>
      <w:r>
        <w:rPr>
          <w:rFonts w:hint="eastAsia"/>
        </w:rPr>
        <w:t>系统软件开发授权与实施联调</w:t>
      </w:r>
    </w:p>
    <w:p w14:paraId="6C889649">
      <w:pPr>
        <w:spacing w:after="48"/>
        <w:ind w:firstLine="420"/>
      </w:pPr>
      <w:r>
        <w:t>系统软件为诉讼材料智能流转与存储中间库核心支撑，实现材料流转、库存管理等全流程智能化管控。项目实施与维护服务期内（首年），</w:t>
      </w:r>
      <w:r>
        <w:rPr>
          <w:rFonts w:hint="eastAsia"/>
        </w:rPr>
        <w:t>供应商</w:t>
      </w:r>
      <w:r>
        <w:t>提供系统的免费升级、漏洞修复、省高院标准适配优化等技术支持服务，确保系统与法院现有办案系统及省高院平台持续兼容。</w:t>
      </w:r>
    </w:p>
    <w:p w14:paraId="3B106DCD">
      <w:pPr>
        <w:spacing w:after="48"/>
        <w:ind w:firstLine="420"/>
        <w:rPr>
          <w:rFonts w:hint="eastAsia"/>
        </w:rPr>
      </w:pPr>
      <w:r>
        <w:rPr>
          <w:rFonts w:hint="eastAsia"/>
        </w:rPr>
        <w:t>成交供应商负责全流程实施与集成联调，确保硬件、软件、法院现有系统、“一张网” 系统无缝衔接，具体要求：</w:t>
      </w:r>
    </w:p>
    <w:p w14:paraId="6F256AFF">
      <w:pPr>
        <w:spacing w:after="48"/>
        <w:ind w:firstLine="420"/>
        <w:rPr>
          <w:rFonts w:hint="eastAsia"/>
        </w:rPr>
      </w:pPr>
      <w:r>
        <w:rPr>
          <w:rFonts w:hint="eastAsia"/>
        </w:rPr>
        <w:t>现场勘查：合同签订后5个自然日内完成现场勘查，结合肇庆中院场地实际与省高院中间库管理规范，优化设备摆放、系统部署及集成方案，经采购单位确认后实施；</w:t>
      </w:r>
    </w:p>
    <w:p w14:paraId="11963263">
      <w:pPr>
        <w:spacing w:after="48"/>
        <w:ind w:firstLine="420"/>
        <w:rPr>
          <w:rFonts w:hint="eastAsia"/>
        </w:rPr>
      </w:pPr>
      <w:r>
        <w:rPr>
          <w:rFonts w:hint="eastAsia"/>
        </w:rPr>
        <w:t>设备交付安装：负责硬件设备采购、运输、卸载、安装，布线整齐、固定牢固，不影响法院正常办公，安装后完成初步调试，确保设备运行稳定；</w:t>
      </w:r>
    </w:p>
    <w:p w14:paraId="38038647">
      <w:pPr>
        <w:spacing w:after="48"/>
        <w:ind w:firstLine="420"/>
        <w:rPr>
          <w:rFonts w:hint="eastAsia"/>
        </w:rPr>
      </w:pPr>
      <w:r>
        <w:rPr>
          <w:rFonts w:hint="eastAsia"/>
        </w:rPr>
        <w:t>系统集成联调：完成系统软件开发/部署、硬件与软件集成、与法院现有系统/“一张网”系统对接联调，严格遵循省高院数据交互标准，确保数据同步准确、功能正常，提交联调报告及省高院标准适配测试报告；</w:t>
      </w:r>
    </w:p>
    <w:p w14:paraId="4107F25B">
      <w:pPr>
        <w:spacing w:after="48"/>
        <w:ind w:firstLine="420"/>
        <w:rPr>
          <w:rFonts w:hint="eastAsia"/>
        </w:rPr>
      </w:pPr>
      <w:r>
        <w:rPr>
          <w:rFonts w:hint="eastAsia"/>
        </w:rPr>
        <w:t>人员培训：提供定制化培训（管理员+操作员），内容包含设备操作、系统使用、日常维护、集成运维基础、省高院粤高法〔2025〕100号文件及配套标准解读，采用“线下实操+线上答疑”模式，培训后组织考核，确保人员熟练掌握；</w:t>
      </w:r>
    </w:p>
    <w:p w14:paraId="4FEBA0AB">
      <w:pPr>
        <w:spacing w:after="48"/>
        <w:ind w:firstLine="420"/>
        <w:rPr>
          <w:rFonts w:hint="eastAsia"/>
        </w:rPr>
      </w:pPr>
      <w:r>
        <w:rPr>
          <w:rFonts w:hint="eastAsia"/>
        </w:rPr>
        <w:t xml:space="preserve"> 资料交付：提交完整的实施资料，包含设备采购清单、产品合格证、安装报告、联调报告、省高院标准适配说明、培训记录、操作手册、保密协议等。</w:t>
      </w:r>
    </w:p>
    <w:p w14:paraId="16859761">
      <w:pPr>
        <w:pStyle w:val="4"/>
        <w:spacing w:before="120" w:after="48"/>
      </w:pPr>
      <w:bookmarkStart w:id="11" w:name="heading_14"/>
      <w:r>
        <w:t>材料智能流转与存储系统（1套）</w:t>
      </w:r>
      <w:bookmarkEnd w:id="11"/>
    </w:p>
    <w:tbl>
      <w:tblPr>
        <w:tblStyle w:val="8"/>
        <w:tblW w:w="8882"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766"/>
        <w:gridCol w:w="1597"/>
        <w:gridCol w:w="6519"/>
      </w:tblGrid>
      <w:tr w14:paraId="1AB2801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blHeader/>
          <w:jc w:val="center"/>
        </w:trPr>
        <w:tc>
          <w:tcPr>
            <w:tcW w:w="7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3907FBA">
            <w:pPr>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序号</w:t>
            </w:r>
          </w:p>
        </w:tc>
        <w:tc>
          <w:tcPr>
            <w:tcW w:w="159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C8598C2">
            <w:pPr>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参数类别</w:t>
            </w:r>
          </w:p>
        </w:tc>
        <w:tc>
          <w:tcPr>
            <w:tcW w:w="651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DD76573">
            <w:pPr>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指标要求</w:t>
            </w:r>
          </w:p>
        </w:tc>
      </w:tr>
      <w:tr w14:paraId="7C6FAADC">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7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5CFDA26">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1)</w:t>
            </w:r>
          </w:p>
        </w:tc>
        <w:tc>
          <w:tcPr>
            <w:tcW w:w="159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60A5DA0">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系统对接</w:t>
            </w:r>
          </w:p>
        </w:tc>
        <w:tc>
          <w:tcPr>
            <w:tcW w:w="651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6BF57BC">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1.需与法院“一张网”系统无缝对接，实现电子卷宗数据实时同步，严格遵循省高院编目标准，可从该系统智能获取案件相关数据并自动生成对应案卷材料面单。</w:t>
            </w:r>
          </w:p>
          <w:p w14:paraId="6E4AED14">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2.数据同步，面单生成准确率100%。</w:t>
            </w:r>
          </w:p>
        </w:tc>
      </w:tr>
      <w:tr w14:paraId="017DF7B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7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B42FC10">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2)</w:t>
            </w:r>
          </w:p>
        </w:tc>
        <w:tc>
          <w:tcPr>
            <w:tcW w:w="159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15CEB86">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二维码管理</w:t>
            </w:r>
          </w:p>
        </w:tc>
        <w:tc>
          <w:tcPr>
            <w:tcW w:w="651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4EF3213">
            <w:pPr>
              <w:numPr>
                <w:ilvl w:val="0"/>
                <w:numId w:val="2"/>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支持自定义生成材料二维码面单，具备面单打印功能，二维码需包含案件编号、材料类型、生成时间等核心信息。</w:t>
            </w:r>
          </w:p>
          <w:p w14:paraId="6D1ED90D">
            <w:pPr>
              <w:numPr>
                <w:ilvl w:val="0"/>
                <w:numId w:val="2"/>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二维码识别准确率≥99.9%，可实现二维码与案卷材料信息的自动关联，支持模糊码、磨损码识别。</w:t>
            </w:r>
          </w:p>
        </w:tc>
      </w:tr>
      <w:tr w14:paraId="71722AF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7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02C039D">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3)</w:t>
            </w:r>
          </w:p>
        </w:tc>
        <w:tc>
          <w:tcPr>
            <w:tcW w:w="159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304B145">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实物管理</w:t>
            </w:r>
          </w:p>
        </w:tc>
        <w:tc>
          <w:tcPr>
            <w:tcW w:w="651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5FED3D4">
            <w:pPr>
              <w:numPr>
                <w:ilvl w:val="0"/>
                <w:numId w:val="3"/>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支持案卷内实物及介质信息的标准化录入，录入项至少包含实物类型、规格、数量、状态、存放位置、录入时间、操作人员，严格对照《诉讼材料入库清单》设置录入选项。</w:t>
            </w:r>
          </w:p>
          <w:p w14:paraId="6783828A">
            <w:pPr>
              <w:numPr>
                <w:ilvl w:val="0"/>
                <w:numId w:val="3"/>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实现实物及介质全生命周期轨迹跟踪，所有操作记录可实时查询、追溯，记录保存期限≥3年。</w:t>
            </w:r>
          </w:p>
          <w:p w14:paraId="46B90BAE">
            <w:pPr>
              <w:numPr>
                <w:ilvl w:val="0"/>
                <w:numId w:val="3"/>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可快速选择介质类型，预设省高院规定的材料类型选项，方便快捷操作。</w:t>
            </w:r>
          </w:p>
        </w:tc>
      </w:tr>
      <w:tr w14:paraId="6E38612C">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7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C73B6A8">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4)</w:t>
            </w:r>
          </w:p>
        </w:tc>
        <w:tc>
          <w:tcPr>
            <w:tcW w:w="159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8B9BE7F">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存储管理</w:t>
            </w:r>
          </w:p>
        </w:tc>
        <w:tc>
          <w:tcPr>
            <w:tcW w:w="651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86BF339">
            <w:pPr>
              <w:numPr>
                <w:ilvl w:val="0"/>
                <w:numId w:val="4"/>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具备智能存储位置自动分配功能，可根据案卷属性、存储规则、入库清单分类优化库位分配，支持涉密材料单独分区存储。</w:t>
            </w:r>
          </w:p>
          <w:p w14:paraId="45AB7FB5">
            <w:pPr>
              <w:numPr>
                <w:ilvl w:val="0"/>
                <w:numId w:val="4"/>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支持库存上下限自定义设置，库存超阈值时自动触发声光+系统消息双重预警。</w:t>
            </w:r>
          </w:p>
          <w:p w14:paraId="65293727">
            <w:pPr>
              <w:numPr>
                <w:ilvl w:val="0"/>
                <w:numId w:val="4"/>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提供多条件出入库记录查询（案号、时间、操作人、材料类型等），查询结果支持模糊匹配、精准筛选，导出格式支持Excel、PDF。</w:t>
            </w:r>
          </w:p>
        </w:tc>
      </w:tr>
      <w:tr w14:paraId="3D7D5541">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7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14EF2DC">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5)</w:t>
            </w:r>
          </w:p>
        </w:tc>
        <w:tc>
          <w:tcPr>
            <w:tcW w:w="159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8203C7F">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权限管理</w:t>
            </w:r>
          </w:p>
        </w:tc>
        <w:tc>
          <w:tcPr>
            <w:tcW w:w="651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C88907F">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采用分级分权的精细化权限控制体系，至少支持管理员、操作员、查询员、审批人四类基础角色配置；支持自定义角色创建及权限分配，权限粒度可细化至单个功能模块的查看、新增、编辑、删除、导出等操作，契合省高院借阅审批管理要求，具备操作权限的实时分配、回收及生效功能。</w:t>
            </w:r>
          </w:p>
        </w:tc>
      </w:tr>
      <w:tr w14:paraId="17084D6D">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7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D29C256">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6)</w:t>
            </w:r>
          </w:p>
        </w:tc>
        <w:tc>
          <w:tcPr>
            <w:tcW w:w="159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BF5DB02">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数据安全</w:t>
            </w:r>
          </w:p>
        </w:tc>
        <w:tc>
          <w:tcPr>
            <w:tcW w:w="651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1CB09C0">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数据传输采用国密级加密算法，数据存储采用加密存储方式；系统自动记录所有操作行为，日志信息至少包含操作人、操作时间、操作内容、操作结果、设备信息，操作日志保存期限≥3年且不可篡改；支持手动/自动数据备份，自动备份可自定义备份周期，备份数据可一键恢复且无数据丢失、损坏，满足省高院电子档案安全要求。</w:t>
            </w:r>
          </w:p>
        </w:tc>
      </w:tr>
      <w:tr w14:paraId="52C45D8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766"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1FF00BC2">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7)</w:t>
            </w:r>
          </w:p>
        </w:tc>
        <w:tc>
          <w:tcPr>
            <w:tcW w:w="1597"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27D218F8">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报表统计</w:t>
            </w:r>
          </w:p>
        </w:tc>
        <w:tc>
          <w:tcPr>
            <w:tcW w:w="651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0AE21936">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支持自动生成出入库统计、库存统计、设备使用统计、材料流转统计等多维度报表，报表支持自定义筛选条件、展示维度；报表导出格式至少包含Excel、PDF，导出文件可保留原始数据格式及报表样式，支持按省高院要求生成电子卷宗应用情况统计报表。</w:t>
            </w:r>
          </w:p>
        </w:tc>
      </w:tr>
      <w:tr w14:paraId="1EE1073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jc w:val="center"/>
        </w:trPr>
        <w:tc>
          <w:tcPr>
            <w:tcW w:w="766"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0A19021D">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8)</w:t>
            </w:r>
          </w:p>
        </w:tc>
        <w:tc>
          <w:tcPr>
            <w:tcW w:w="1597"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0BF88078">
            <w:pPr>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系统兼容性</w:t>
            </w:r>
          </w:p>
        </w:tc>
        <w:tc>
          <w:tcPr>
            <w:tcW w:w="651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F615665">
            <w:p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与智慧案件中间库管理系统无缝对接，实现两个系统间案卷数据、库存数据、操作数据的双向实时共享，数据共享无延迟、无冗余、无冲突，对接后不影响两个系统原有功能的正常运行。</w:t>
            </w:r>
          </w:p>
        </w:tc>
      </w:tr>
    </w:tbl>
    <w:p w14:paraId="1DF217AC">
      <w:pPr>
        <w:pStyle w:val="4"/>
        <w:widowControl w:val="0"/>
        <w:spacing w:before="120" w:after="48"/>
      </w:pPr>
      <w:bookmarkStart w:id="12" w:name="heading_15"/>
      <w:r>
        <w:t>智慧案件中间库管理系统－集控工作台端（1套）</w:t>
      </w:r>
      <w:bookmarkEnd w:id="12"/>
    </w:p>
    <w:tbl>
      <w:tblPr>
        <w:tblStyle w:val="8"/>
        <w:tblpPr w:leftFromText="180" w:rightFromText="180" w:vertAnchor="text" w:tblpXSpec="center" w:tblpY="1"/>
        <w:tblOverlap w:val="never"/>
        <w:tblW w:w="8910" w:type="dxa"/>
        <w:tblInd w:w="0" w:type="dxa"/>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fixed"/>
        <w:tblCellMar>
          <w:top w:w="0" w:type="dxa"/>
          <w:left w:w="10" w:type="dxa"/>
          <w:bottom w:w="0" w:type="dxa"/>
          <w:right w:w="10" w:type="dxa"/>
        </w:tblCellMar>
      </w:tblPr>
      <w:tblGrid>
        <w:gridCol w:w="813"/>
        <w:gridCol w:w="1600"/>
        <w:gridCol w:w="6497"/>
      </w:tblGrid>
      <w:tr w14:paraId="4EBA29E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3" w:hRule="atLeast"/>
          <w:tblHeader/>
        </w:trPr>
        <w:tc>
          <w:tcPr>
            <w:tcW w:w="81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0E627A7">
            <w:pPr>
              <w:keepNext/>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序号</w:t>
            </w:r>
          </w:p>
        </w:tc>
        <w:tc>
          <w:tcPr>
            <w:tcW w:w="160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C32A616">
            <w:pPr>
              <w:keepNext/>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参数类别</w:t>
            </w:r>
          </w:p>
        </w:tc>
        <w:tc>
          <w:tcPr>
            <w:tcW w:w="6497"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8B18137">
            <w:pPr>
              <w:keepNext/>
              <w:spacing w:before="120" w:after="48" w:line="240" w:lineRule="auto"/>
              <w:ind w:firstLine="0" w:firstLineChars="0"/>
              <w:jc w:val="center"/>
              <w:rPr>
                <w:rFonts w:ascii="微软雅黑" w:hAnsi="微软雅黑" w:cs="微软雅黑"/>
                <w:b/>
                <w:szCs w:val="21"/>
              </w:rPr>
            </w:pPr>
            <w:r>
              <w:rPr>
                <w:rFonts w:hint="eastAsia" w:ascii="微软雅黑" w:hAnsi="微软雅黑" w:cs="微软雅黑"/>
                <w:b/>
                <w:szCs w:val="21"/>
              </w:rPr>
              <w:t>指标要求</w:t>
            </w:r>
          </w:p>
        </w:tc>
      </w:tr>
      <w:tr w14:paraId="5B17F67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3" w:hRule="atLeast"/>
        </w:trPr>
        <w:tc>
          <w:tcPr>
            <w:tcW w:w="81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2D9464C">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1)</w:t>
            </w:r>
          </w:p>
        </w:tc>
        <w:tc>
          <w:tcPr>
            <w:tcW w:w="160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D28211C">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托盘管理</w:t>
            </w:r>
          </w:p>
        </w:tc>
        <w:tc>
          <w:tcPr>
            <w:tcW w:w="6497"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F5D3F50">
            <w:pPr>
              <w:keepNext/>
              <w:numPr>
                <w:ilvl w:val="0"/>
                <w:numId w:val="5"/>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托盘状态管理：支持托盘状态、托盘参数全流程管理，为每个托盘分配唯一二维码标识，实现托盘属性可追溯；</w:t>
            </w:r>
          </w:p>
          <w:p w14:paraId="464E3417">
            <w:pPr>
              <w:keepNext/>
              <w:numPr>
                <w:ilvl w:val="0"/>
                <w:numId w:val="5"/>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托盘接收：支持扫描托盘二维码，自动完成该批次案卷接收，接收响应时间≤3秒；</w:t>
            </w:r>
          </w:p>
          <w:p w14:paraId="65A81B99">
            <w:pPr>
              <w:keepNext/>
              <w:numPr>
                <w:ilvl w:val="0"/>
                <w:numId w:val="5"/>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案卷接收：支持扫描案卷面单二维码，自动获取案卷材料全部属性信息，信息同步时间≤2秒；</w:t>
            </w:r>
          </w:p>
          <w:p w14:paraId="43944608">
            <w:pPr>
              <w:keepNext/>
              <w:numPr>
                <w:ilvl w:val="0"/>
                <w:numId w:val="5"/>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案卷盒智能配置：系统可自动获取每一份案卷的厚度属性，并智能匹配适配规格的案卷盒；</w:t>
            </w:r>
          </w:p>
          <w:p w14:paraId="76CFD85E">
            <w:pPr>
              <w:keepNext/>
              <w:numPr>
                <w:ilvl w:val="0"/>
                <w:numId w:val="5"/>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案件补充材料管理：针对补充材料，系统可自动获取母卷相关数据，根据总厚度智能配置适配案卷盒，并支持移位任务全流程管理，同步更新电子卷宗关联信息。</w:t>
            </w:r>
          </w:p>
        </w:tc>
      </w:tr>
      <w:tr w14:paraId="23A8B6C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3" w:hRule="atLeast"/>
        </w:trPr>
        <w:tc>
          <w:tcPr>
            <w:tcW w:w="81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2FB4E71">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2)</w:t>
            </w:r>
          </w:p>
        </w:tc>
        <w:tc>
          <w:tcPr>
            <w:tcW w:w="160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0F96EC3">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入库管理</w:t>
            </w:r>
          </w:p>
        </w:tc>
        <w:tc>
          <w:tcPr>
            <w:tcW w:w="6497"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5152DD7">
            <w:pPr>
              <w:keepNext/>
              <w:numPr>
                <w:ilvl w:val="0"/>
                <w:numId w:val="6"/>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待接收单管理：清晰展示待接收信息，包括接收状态、订单号、提交人、托盘信息、接收时间，支持详情查看功能；</w:t>
            </w:r>
          </w:p>
          <w:p w14:paraId="4646A256">
            <w:pPr>
              <w:keepNext/>
              <w:numPr>
                <w:ilvl w:val="0"/>
                <w:numId w:val="6"/>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订单操作：支持添加订单、创建副本、归还材料、追加材料等操作；</w:t>
            </w:r>
          </w:p>
          <w:p w14:paraId="10362917">
            <w:pPr>
              <w:keepNext/>
              <w:numPr>
                <w:ilvl w:val="0"/>
                <w:numId w:val="6"/>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检验接收：展示检验接收状态、订单号、接收时间、材料数量，支持材料分组管理，严格对照《诉讼材料入库清单》进行入库审核；</w:t>
            </w:r>
          </w:p>
          <w:p w14:paraId="73CC9A96">
            <w:pPr>
              <w:keepNext/>
              <w:numPr>
                <w:ilvl w:val="0"/>
                <w:numId w:val="6"/>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智能排序：支持多任务合并，扫码接收多个托盘后可实现多任务合并排序，排序规则可按案件优先级、材料类型自定义配置；</w:t>
            </w:r>
          </w:p>
          <w:p w14:paraId="1B157FB6">
            <w:pPr>
              <w:keepNext/>
              <w:numPr>
                <w:ilvl w:val="0"/>
                <w:numId w:val="6"/>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操作台指示灯控制：系统可智能控制操作台指示灯，扫描案卷面单二维码时，对应存放格自动亮灯，指示清晰准确；</w:t>
            </w:r>
          </w:p>
          <w:p w14:paraId="63519D7E">
            <w:pPr>
              <w:keepNext/>
              <w:numPr>
                <w:ilvl w:val="0"/>
                <w:numId w:val="6"/>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可视化排序：系统自动同步可视化排序动态呈现，清晰地展示该案卷前后案卷数量及位置；</w:t>
            </w:r>
          </w:p>
          <w:p w14:paraId="795255DA">
            <w:pPr>
              <w:keepNext/>
              <w:numPr>
                <w:ilvl w:val="0"/>
                <w:numId w:val="6"/>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上架优化：可自动计算案卷厚度、匹配适配案卷盒、规划批次上架最佳顺序；</w:t>
            </w:r>
          </w:p>
          <w:p w14:paraId="05C9DBBB">
            <w:pPr>
              <w:keepNext/>
              <w:numPr>
                <w:ilvl w:val="0"/>
                <w:numId w:val="6"/>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入库上架：展示材料列表，包含材料状态、数量及配送信息，支持上架操作全程追溯，操作记录自动同步至电子卷宗平台。</w:t>
            </w:r>
          </w:p>
        </w:tc>
      </w:tr>
      <w:tr w14:paraId="6CF3F110">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3" w:hRule="atLeast"/>
        </w:trPr>
        <w:tc>
          <w:tcPr>
            <w:tcW w:w="81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EFB8A5C">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3)</w:t>
            </w:r>
          </w:p>
        </w:tc>
        <w:tc>
          <w:tcPr>
            <w:tcW w:w="160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74D9FA6">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库存管理</w:t>
            </w:r>
          </w:p>
        </w:tc>
        <w:tc>
          <w:tcPr>
            <w:tcW w:w="6497"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FD2734E">
            <w:pPr>
              <w:keepNext/>
              <w:numPr>
                <w:ilvl w:val="0"/>
                <w:numId w:val="7"/>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案卷库存查询：实时展示材料库存情况，包括材料最新入库时间、份数、所在位置、重量、库存状态及材料详情，支持按材料类型、案件类型、涉密等级筛选；</w:t>
            </w:r>
          </w:p>
          <w:p w14:paraId="50CDE9C2">
            <w:pPr>
              <w:keepNext/>
              <w:numPr>
                <w:ilvl w:val="0"/>
                <w:numId w:val="7"/>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移库管理：支持材料移库操作，可记录移库前后位置、操作人、操作时间，移库操作可追溯；</w:t>
            </w:r>
          </w:p>
          <w:p w14:paraId="5D841F7E">
            <w:pPr>
              <w:keepNext/>
              <w:numPr>
                <w:ilvl w:val="0"/>
                <w:numId w:val="7"/>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归档管理：支持材料归档操作，归档后自动更新库存状态，生成归档记录，同步推送至档案管理部门；</w:t>
            </w:r>
          </w:p>
          <w:p w14:paraId="474B7177">
            <w:pPr>
              <w:keepNext/>
              <w:numPr>
                <w:ilvl w:val="0"/>
                <w:numId w:val="7"/>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借阅管理：支持借阅全流程管理，包括借阅发起、审批、出库、归还、续借等操作，严格遵循省高院借阅审批规定，借阅期限可设置且到期自动提醒；</w:t>
            </w:r>
          </w:p>
          <w:p w14:paraId="4D6256F7">
            <w:pPr>
              <w:keepNext/>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5.支持接入高精度电子秤，系统智能获取案卷材料精准重量，用于核对案卷完整性，重量数据与入库时自动比对，差异超阈值时触发预警；</w:t>
            </w:r>
          </w:p>
          <w:p w14:paraId="4EC194C0">
            <w:pPr>
              <w:keepNext/>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6.自动赋予案卷厚度数据，并匹配适配卷宗盒；</w:t>
            </w:r>
          </w:p>
          <w:p w14:paraId="306EAE35">
            <w:pPr>
              <w:keepNext/>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7.库存往来查询：支持查看所有案件材料流转明细，包含操作人、操作时间、库位、托盘及材料详情，查询范围可自定义筛选，支持按时间段导出流转报表。</w:t>
            </w:r>
          </w:p>
        </w:tc>
      </w:tr>
      <w:tr w14:paraId="3F07FB7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3" w:hRule="atLeast"/>
        </w:trPr>
        <w:tc>
          <w:tcPr>
            <w:tcW w:w="81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E31D618">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4)</w:t>
            </w:r>
          </w:p>
        </w:tc>
        <w:tc>
          <w:tcPr>
            <w:tcW w:w="160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FAC92E9">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出库管理</w:t>
            </w:r>
          </w:p>
        </w:tc>
        <w:tc>
          <w:tcPr>
            <w:tcW w:w="6497"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20CCC33">
            <w:pPr>
              <w:keepNext/>
              <w:numPr>
                <w:ilvl w:val="0"/>
                <w:numId w:val="8"/>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出库申请：支持提交出库申请，申请信息包含出库材料案号、状态、分组、申请人、申请时间、出库事由等，申请提交后可实时跟踪审批进度；</w:t>
            </w:r>
          </w:p>
          <w:p w14:paraId="054A5FBF">
            <w:pPr>
              <w:keepNext/>
              <w:numPr>
                <w:ilvl w:val="0"/>
                <w:numId w:val="8"/>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清单打印：支持出库材料清单打印，清单包含完整的材料信息、申请人、申请时间、审批人等内容，打印格式可自定义；</w:t>
            </w:r>
          </w:p>
          <w:p w14:paraId="038866C5">
            <w:pPr>
              <w:keepNext/>
              <w:numPr>
                <w:ilvl w:val="0"/>
                <w:numId w:val="8"/>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出库任务管理：展示出库任务状态、任务创建时间、材料数量、配送情况、出库单号等信息，支持任务状态实时更新；</w:t>
            </w:r>
          </w:p>
          <w:p w14:paraId="4A6F2031">
            <w:pPr>
              <w:keepNext/>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4.派送任务管理：展示出库汇总信息，包含案号、材料类型、任务状态、是否分组、申请人、申请时间等，支持多条件筛选查询。</w:t>
            </w:r>
          </w:p>
        </w:tc>
      </w:tr>
      <w:tr w14:paraId="271D64A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3" w:hRule="atLeast"/>
        </w:trPr>
        <w:tc>
          <w:tcPr>
            <w:tcW w:w="813"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4B14DA2">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5)</w:t>
            </w:r>
          </w:p>
        </w:tc>
        <w:tc>
          <w:tcPr>
            <w:tcW w:w="160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9A26B4D">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案件柜管理</w:t>
            </w:r>
          </w:p>
        </w:tc>
        <w:tc>
          <w:tcPr>
            <w:tcW w:w="6497"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0759FB9">
            <w:pPr>
              <w:keepNext/>
              <w:numPr>
                <w:ilvl w:val="0"/>
                <w:numId w:val="9"/>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案由维护：支持案由与柜子的分配设置，可新增、编辑、删除案由分配规则；</w:t>
            </w:r>
          </w:p>
          <w:p w14:paraId="742F3C4B">
            <w:pPr>
              <w:keepNext/>
              <w:numPr>
                <w:ilvl w:val="0"/>
                <w:numId w:val="9"/>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线路维护：支持配置开柜服务的IP和端口，可测试连接状态，确保开柜服务正常运行；</w:t>
            </w:r>
          </w:p>
          <w:p w14:paraId="041B9319">
            <w:pPr>
              <w:keepNext/>
              <w:numPr>
                <w:ilvl w:val="0"/>
                <w:numId w:val="9"/>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部门维护：支持部门与柜子的分配设置，可根据部门需求灵活分配柜子资源；</w:t>
            </w:r>
          </w:p>
          <w:p w14:paraId="7E616E7D">
            <w:pPr>
              <w:keepNext/>
              <w:numPr>
                <w:ilvl w:val="0"/>
                <w:numId w:val="9"/>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库房管理：支持库房全生命周期管理，可配置库管员信息，实现库房责任到人，支持涉密库房单独配置权限；</w:t>
            </w:r>
          </w:p>
          <w:p w14:paraId="73D72F41">
            <w:pPr>
              <w:keepNext/>
              <w:numPr>
                <w:ilvl w:val="0"/>
                <w:numId w:val="9"/>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货架管理：支持货架管理，可设置货架所在区域和位置，支持货架启用、编辑、删除等操作；</w:t>
            </w:r>
          </w:p>
          <w:p w14:paraId="6CDE8FAC">
            <w:pPr>
              <w:keepNext/>
              <w:numPr>
                <w:ilvl w:val="0"/>
                <w:numId w:val="9"/>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置物层管理：支持货架每一层的管理，包含编码、名称、所在货架、区域等信息，支持启用、编辑、删除等操作；</w:t>
            </w:r>
          </w:p>
          <w:p w14:paraId="70BC9A4E">
            <w:pPr>
              <w:keepNext/>
              <w:numPr>
                <w:ilvl w:val="0"/>
                <w:numId w:val="9"/>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置物位置管理：支持货架上每个智能卡位的管理，支持启用、编辑、删除等操作，卡位状态实时更新；</w:t>
            </w:r>
          </w:p>
          <w:p w14:paraId="36611060">
            <w:pPr>
              <w:keepNext/>
              <w:numPr>
                <w:ilvl w:val="0"/>
                <w:numId w:val="9"/>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案卷盒管理：支持大、中、小三种规格案卷盒的管理，可展示案卷盒物理属性，支持编辑、新增、删除操作；</w:t>
            </w:r>
          </w:p>
          <w:p w14:paraId="400F8C58">
            <w:pPr>
              <w:keepNext/>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9.对码功能：支持案件柜对码操作，对码准确率100%。</w:t>
            </w:r>
          </w:p>
        </w:tc>
      </w:tr>
      <w:tr w14:paraId="2B8DC77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3" w:hRule="atLeast"/>
        </w:trPr>
        <w:tc>
          <w:tcPr>
            <w:tcW w:w="813"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3C749FD4">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6)</w:t>
            </w:r>
          </w:p>
        </w:tc>
        <w:tc>
          <w:tcPr>
            <w:tcW w:w="1600"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09349AB0">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盘点管理</w:t>
            </w:r>
          </w:p>
        </w:tc>
        <w:tc>
          <w:tcPr>
            <w:tcW w:w="6497"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35EDC22">
            <w:pPr>
              <w:keepNext/>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支持盘点任务全流程管理，可创建盘点任务，实时展示盘点结果、盘点通过率、盘点时间，支持查看盘点任务详情，包含盘点材料明细、盘盈盘亏情况、操作人等信息，盘点通过率统计误差≤0.1%，支持盘点结果导出与异常处理。</w:t>
            </w:r>
          </w:p>
        </w:tc>
      </w:tr>
      <w:tr w14:paraId="3CCF6E7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23" w:hRule="atLeast"/>
        </w:trPr>
        <w:tc>
          <w:tcPr>
            <w:tcW w:w="813"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7EA08DDC">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7)</w:t>
            </w:r>
          </w:p>
        </w:tc>
        <w:tc>
          <w:tcPr>
            <w:tcW w:w="1600"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45AED785">
            <w:pPr>
              <w:keepNext/>
              <w:spacing w:before="120" w:after="48" w:line="240" w:lineRule="auto"/>
              <w:ind w:firstLine="0" w:firstLineChars="0"/>
              <w:jc w:val="center"/>
              <w:rPr>
                <w:rFonts w:ascii="微软雅黑" w:hAnsi="微软雅黑" w:cs="微软雅黑"/>
                <w:szCs w:val="21"/>
              </w:rPr>
            </w:pPr>
            <w:r>
              <w:rPr>
                <w:rFonts w:hint="eastAsia" w:ascii="微软雅黑" w:hAnsi="微软雅黑" w:cs="微软雅黑"/>
                <w:szCs w:val="21"/>
              </w:rPr>
              <w:t>权限管理</w:t>
            </w:r>
          </w:p>
        </w:tc>
        <w:tc>
          <w:tcPr>
            <w:tcW w:w="6497"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69DCEEBD">
            <w:pPr>
              <w:keepNext/>
              <w:numPr>
                <w:ilvl w:val="0"/>
                <w:numId w:val="10"/>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管理员权限：支持管理员进行系统维护、账号管理（新增、编辑、删除、重置密码）等操作；</w:t>
            </w:r>
          </w:p>
          <w:p w14:paraId="02AC49E7">
            <w:pPr>
              <w:keepNext/>
              <w:numPr>
                <w:ilvl w:val="0"/>
                <w:numId w:val="10"/>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角色管理：支持人员角色分配管理，可新增、编辑、删除角色，角色关联对应人员；</w:t>
            </w:r>
          </w:p>
          <w:p w14:paraId="6EC44B62">
            <w:pPr>
              <w:keepNext/>
              <w:numPr>
                <w:ilvl w:val="0"/>
                <w:numId w:val="10"/>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权限管理：支持对不同角色分配对应权限，权限粒度可细化至单个功能模块，支持权限新增、修改、回收；</w:t>
            </w:r>
          </w:p>
          <w:p w14:paraId="24B59B95">
            <w:pPr>
              <w:keepNext/>
              <w:numPr>
                <w:ilvl w:val="0"/>
                <w:numId w:val="10"/>
              </w:numPr>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菜单管理：支持功能菜单管理，可根据权限配置菜单显示/隐藏，支持菜单新增、编辑、删除；</w:t>
            </w:r>
          </w:p>
          <w:p w14:paraId="24E01A70">
            <w:pPr>
              <w:keepNext/>
              <w:spacing w:before="120" w:after="48" w:line="240" w:lineRule="auto"/>
              <w:ind w:firstLine="0" w:firstLineChars="0"/>
              <w:jc w:val="left"/>
              <w:rPr>
                <w:rFonts w:ascii="微软雅黑" w:hAnsi="微软雅黑" w:cs="微软雅黑"/>
                <w:szCs w:val="21"/>
              </w:rPr>
            </w:pPr>
            <w:r>
              <w:rPr>
                <w:rFonts w:hint="eastAsia" w:ascii="微软雅黑" w:hAnsi="微软雅黑" w:cs="微软雅黑"/>
                <w:szCs w:val="21"/>
              </w:rPr>
              <w:t>5.日志管理：自动记录所有权限操作的历史记录，包含操作人、操作时间、操作内容、操作结果，日志保存期限≥3年。</w:t>
            </w:r>
          </w:p>
        </w:tc>
      </w:tr>
    </w:tbl>
    <w:p w14:paraId="180F19CD">
      <w:pPr>
        <w:spacing w:after="48" w:line="360" w:lineRule="auto"/>
        <w:ind w:firstLine="420"/>
        <w:jc w:val="left"/>
        <w:rPr>
          <w:szCs w:val="21"/>
        </w:rPr>
      </w:pPr>
      <w:bookmarkStart w:id="13" w:name="_Toc11202"/>
      <w:bookmarkStart w:id="14" w:name="heading_16"/>
    </w:p>
    <w:bookmarkEnd w:id="13"/>
    <w:p w14:paraId="2A7F0CF0">
      <w:pPr>
        <w:pStyle w:val="3"/>
        <w:spacing w:before="120" w:after="48"/>
      </w:pPr>
      <w:r>
        <w:t>一张网“协同助手”配套服务（</w:t>
      </w:r>
      <w:r>
        <w:rPr>
          <w:rFonts w:hint="eastAsia"/>
        </w:rPr>
        <w:t>1年</w:t>
      </w:r>
      <w:r>
        <w:t>）</w:t>
      </w:r>
    </w:p>
    <w:p w14:paraId="36BF59D5">
      <w:pPr>
        <w:spacing w:after="48"/>
        <w:ind w:firstLine="420"/>
      </w:pPr>
      <w:r>
        <w:t>为确保采购设备及系统与最高法“一张网”办案系统无缝协同，</w:t>
      </w:r>
      <w:r>
        <w:rPr>
          <w:rFonts w:hint="eastAsia"/>
        </w:rPr>
        <w:t>供应商</w:t>
      </w:r>
      <w:r>
        <w:t>需提供“一张网”协同配套助手，实现数据双向同步、功能协同联动，属于必备采购内容。具体要求如下：</w:t>
      </w:r>
    </w:p>
    <w:p w14:paraId="2E0D2538">
      <w:pPr>
        <w:spacing w:after="48"/>
        <w:ind w:firstLine="420"/>
      </w:pPr>
      <w:r>
        <w:t>数据同步功能：支持将诉讼材料流转信息、库存信息、操作记录等数据实时同步至“一张网”办案系统；支持从“一张网”办案系统同步案件信息，确保数据一致性、准确性。</w:t>
      </w:r>
    </w:p>
    <w:p w14:paraId="32BA832E">
      <w:pPr>
        <w:spacing w:after="48"/>
        <w:ind w:firstLine="420"/>
      </w:pPr>
      <w:r>
        <w:t>功能协同功能：支持在“一张网”办案系统中发起材料流转申请、查询材料状态、调取材料信息，无需切换系统，提升办案效率；支持与“一张网”系统的权限协同，实现用户权限互通，无需重复登录。</w:t>
      </w:r>
    </w:p>
    <w:p w14:paraId="2549C20B">
      <w:pPr>
        <w:spacing w:after="48"/>
        <w:ind w:firstLine="420"/>
      </w:pPr>
      <w:r>
        <w:t>兼容性保障：协同配套助手需与“一张网”办案系统最新版本兼容，项目实施与维护服务期内，若“一张网”系统升级，</w:t>
      </w:r>
      <w:r>
        <w:rPr>
          <w:rFonts w:hint="eastAsia"/>
        </w:rPr>
        <w:t>供应商</w:t>
      </w:r>
      <w:r>
        <w:t>需免费对配套助手进行同步升级，确保协同功能正常运行（“一张网”明确不许可的除外）。</w:t>
      </w:r>
    </w:p>
    <w:p w14:paraId="147F8E10">
      <w:pPr>
        <w:spacing w:after="48"/>
        <w:ind w:firstLine="420"/>
      </w:pPr>
      <w:r>
        <w:t>技术支持：</w:t>
      </w:r>
      <w:r>
        <w:rPr>
          <w:rFonts w:hint="eastAsia"/>
        </w:rPr>
        <w:t>供应商</w:t>
      </w:r>
      <w:r>
        <w:t>需为协同配套助手提供7×24小时技术支持，及时处理运行过程中出现的兼容性问题、同步异常等情况，确保不影响法院正常办案工作。</w:t>
      </w:r>
    </w:p>
    <w:p w14:paraId="52823546">
      <w:pPr>
        <w:pStyle w:val="4"/>
        <w:spacing w:before="120" w:after="48"/>
      </w:pPr>
      <w:r>
        <w:rPr>
          <w:rFonts w:hint="eastAsia"/>
        </w:rPr>
        <w:t>智慧取件协同呼叫与通知（前台服务协同系统）</w:t>
      </w:r>
    </w:p>
    <w:tbl>
      <w:tblPr>
        <w:tblStyle w:val="8"/>
        <w:tblpPr w:leftFromText="180" w:rightFromText="180" w:vertAnchor="text" w:tblpXSpec="center" w:tblpY="1"/>
        <w:tblOverlap w:val="never"/>
        <w:tblW w:w="90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26"/>
        <w:gridCol w:w="1633"/>
        <w:gridCol w:w="6542"/>
      </w:tblGrid>
      <w:tr w14:paraId="01D9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826" w:type="dxa"/>
            <w:noWrap w:val="0"/>
            <w:tcMar>
              <w:top w:w="120" w:type="dxa"/>
              <w:left w:w="120" w:type="dxa"/>
              <w:bottom w:w="120" w:type="dxa"/>
              <w:right w:w="120" w:type="dxa"/>
            </w:tcMar>
            <w:vAlign w:val="center"/>
          </w:tcPr>
          <w:p w14:paraId="1ABFF5B5">
            <w:pPr>
              <w:keepNext/>
              <w:widowControl/>
              <w:spacing w:before="120" w:after="48" w:line="240" w:lineRule="auto"/>
              <w:ind w:firstLine="0" w:firstLineChars="0"/>
              <w:jc w:val="center"/>
              <w:rPr>
                <w:rFonts w:ascii="微软雅黑" w:hAnsi="微软雅黑" w:cs="微软雅黑"/>
                <w:b/>
                <w:kern w:val="0"/>
                <w:szCs w:val="21"/>
              </w:rPr>
            </w:pPr>
            <w:r>
              <w:rPr>
                <w:rFonts w:hint="eastAsia" w:ascii="微软雅黑" w:hAnsi="微软雅黑" w:cs="微软雅黑"/>
                <w:b/>
                <w:kern w:val="0"/>
                <w:szCs w:val="21"/>
              </w:rPr>
              <w:t>序号</w:t>
            </w:r>
          </w:p>
        </w:tc>
        <w:tc>
          <w:tcPr>
            <w:tcW w:w="1633" w:type="dxa"/>
            <w:noWrap w:val="0"/>
            <w:tcMar>
              <w:top w:w="120" w:type="dxa"/>
              <w:left w:w="120" w:type="dxa"/>
              <w:bottom w:w="120" w:type="dxa"/>
              <w:right w:w="120" w:type="dxa"/>
            </w:tcMar>
            <w:vAlign w:val="center"/>
          </w:tcPr>
          <w:p w14:paraId="7720A78E">
            <w:pPr>
              <w:keepNext/>
              <w:widowControl/>
              <w:spacing w:before="120" w:after="48" w:line="240" w:lineRule="auto"/>
              <w:ind w:firstLine="0" w:firstLineChars="0"/>
              <w:jc w:val="center"/>
              <w:rPr>
                <w:rFonts w:ascii="微软雅黑" w:hAnsi="微软雅黑" w:cs="微软雅黑"/>
                <w:b/>
                <w:kern w:val="0"/>
                <w:szCs w:val="21"/>
              </w:rPr>
            </w:pPr>
            <w:r>
              <w:rPr>
                <w:rFonts w:hint="eastAsia" w:ascii="微软雅黑" w:hAnsi="微软雅黑" w:cs="微软雅黑"/>
                <w:b/>
                <w:kern w:val="0"/>
                <w:szCs w:val="21"/>
              </w:rPr>
              <w:t>技术参数项</w:t>
            </w:r>
          </w:p>
        </w:tc>
        <w:tc>
          <w:tcPr>
            <w:tcW w:w="6542" w:type="dxa"/>
            <w:noWrap w:val="0"/>
            <w:tcMar>
              <w:top w:w="120" w:type="dxa"/>
              <w:left w:w="120" w:type="dxa"/>
              <w:bottom w:w="120" w:type="dxa"/>
              <w:right w:w="120" w:type="dxa"/>
            </w:tcMar>
            <w:vAlign w:val="center"/>
          </w:tcPr>
          <w:p w14:paraId="554EA405">
            <w:pPr>
              <w:keepNext/>
              <w:widowControl/>
              <w:spacing w:before="120" w:after="48" w:line="240" w:lineRule="auto"/>
              <w:ind w:firstLine="0" w:firstLineChars="0"/>
              <w:jc w:val="center"/>
              <w:rPr>
                <w:rFonts w:ascii="微软雅黑" w:hAnsi="微软雅黑" w:cs="微软雅黑"/>
                <w:b/>
                <w:kern w:val="0"/>
                <w:szCs w:val="21"/>
              </w:rPr>
            </w:pPr>
            <w:r>
              <w:rPr>
                <w:rFonts w:hint="eastAsia" w:ascii="微软雅黑" w:hAnsi="微软雅黑" w:cs="微软雅黑"/>
                <w:b/>
                <w:kern w:val="0"/>
                <w:szCs w:val="21"/>
              </w:rPr>
              <w:t>指标要求</w:t>
            </w:r>
          </w:p>
        </w:tc>
      </w:tr>
      <w:tr w14:paraId="3EFF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6" w:type="dxa"/>
            <w:noWrap w:val="0"/>
            <w:tcMar>
              <w:top w:w="120" w:type="dxa"/>
              <w:left w:w="120" w:type="dxa"/>
              <w:bottom w:w="120" w:type="dxa"/>
              <w:right w:w="120" w:type="dxa"/>
            </w:tcMar>
            <w:vAlign w:val="center"/>
          </w:tcPr>
          <w:p w14:paraId="6FC5F91E">
            <w:pPr>
              <w:keepNext/>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1)</w:t>
            </w:r>
          </w:p>
        </w:tc>
        <w:tc>
          <w:tcPr>
            <w:tcW w:w="1633" w:type="dxa"/>
            <w:noWrap w:val="0"/>
            <w:tcMar>
              <w:top w:w="120" w:type="dxa"/>
              <w:left w:w="120" w:type="dxa"/>
              <w:bottom w:w="120" w:type="dxa"/>
              <w:right w:w="120" w:type="dxa"/>
            </w:tcMar>
            <w:vAlign w:val="center"/>
          </w:tcPr>
          <w:p w14:paraId="05667447">
            <w:pPr>
              <w:keepNext/>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智能扫码检索与案件信息协同调取功能</w:t>
            </w:r>
          </w:p>
        </w:tc>
        <w:tc>
          <w:tcPr>
            <w:tcW w:w="6542" w:type="dxa"/>
            <w:noWrap w:val="0"/>
            <w:tcMar>
              <w:top w:w="120" w:type="dxa"/>
              <w:left w:w="120" w:type="dxa"/>
              <w:bottom w:w="120" w:type="dxa"/>
              <w:right w:w="120" w:type="dxa"/>
            </w:tcMar>
            <w:vAlign w:val="center"/>
          </w:tcPr>
          <w:p w14:paraId="7EE9F46E">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1.支持精准识别智慧案卷全流程智能流转管控系统生成的案卷清单二维码，识别无卡顿；</w:t>
            </w:r>
          </w:p>
          <w:p w14:paraId="797B90B1">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2.具备案卷清单二维码快速扫描能力，识别准确率≥99.9%，支持连续扫描、批量扫描；</w:t>
            </w:r>
          </w:p>
          <w:p w14:paraId="3E8E6086">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3.扫描完成后自动对接后台智慧案卷全流程智能流转管控系统，对接无延迟、无报错；</w:t>
            </w:r>
          </w:p>
          <w:p w14:paraId="0C9620D1">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4.可快速调取对应案件完整核心信息，至少包含案件编号、当事人姓名/名称、案件类型、取件地点、取件时间等，信息展示完整无遗漏；</w:t>
            </w:r>
          </w:p>
          <w:p w14:paraId="1B9E41FE">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5.实现跨系统案件信息实时同步，智慧案卷全流程智能流转管控系统与本系统信息同步，确保信息一致性、时效性。</w:t>
            </w:r>
          </w:p>
        </w:tc>
      </w:tr>
      <w:tr w14:paraId="25B7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26" w:type="dxa"/>
            <w:noWrap w:val="0"/>
            <w:tcMar>
              <w:top w:w="120" w:type="dxa"/>
              <w:left w:w="120" w:type="dxa"/>
              <w:bottom w:w="120" w:type="dxa"/>
              <w:right w:w="120" w:type="dxa"/>
            </w:tcMar>
            <w:vAlign w:val="center"/>
          </w:tcPr>
          <w:p w14:paraId="5019010D">
            <w:pPr>
              <w:keepNext/>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2)</w:t>
            </w:r>
          </w:p>
        </w:tc>
        <w:tc>
          <w:tcPr>
            <w:tcW w:w="1633" w:type="dxa"/>
            <w:noWrap w:val="0"/>
            <w:tcMar>
              <w:top w:w="120" w:type="dxa"/>
              <w:left w:w="120" w:type="dxa"/>
              <w:bottom w:w="120" w:type="dxa"/>
              <w:right w:w="120" w:type="dxa"/>
            </w:tcMar>
            <w:vAlign w:val="center"/>
          </w:tcPr>
          <w:p w14:paraId="5F0288B3">
            <w:pPr>
              <w:keepNext/>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智能语音呼叫与多渠道协同通知功能</w:t>
            </w:r>
          </w:p>
        </w:tc>
        <w:tc>
          <w:tcPr>
            <w:tcW w:w="6542" w:type="dxa"/>
            <w:noWrap w:val="0"/>
            <w:tcMar>
              <w:top w:w="120" w:type="dxa"/>
              <w:left w:w="120" w:type="dxa"/>
              <w:bottom w:w="120" w:type="dxa"/>
              <w:right w:w="120" w:type="dxa"/>
            </w:tcMar>
            <w:vAlign w:val="center"/>
          </w:tcPr>
          <w:p w14:paraId="2A125FDE">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1．案件信息检索完成后，系统自动触发当事人取件语音呼叫，呼叫触发无延迟；</w:t>
            </w:r>
          </w:p>
          <w:p w14:paraId="16616376">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2．支持取件语音呼叫文本自定义配置，可新增、编辑、删除文本内容，支持编辑、变量插入；</w:t>
            </w:r>
          </w:p>
          <w:p w14:paraId="4CBA49CB">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3.具备取件语音呼叫音量调节功能，音量调节范围支持0—100%，可根据现场环境灵活调节，调节后实时生效；</w:t>
            </w:r>
          </w:p>
          <w:p w14:paraId="7CF512B1">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4.语音呼叫触发后，自动同步生成取件提醒短信给法官或书记员，短信生成无遗漏、无错误；</w:t>
            </w:r>
          </w:p>
          <w:p w14:paraId="333C79A7">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5.支持向当事人精准发送取件提醒短信，可自动匹配当事人预留手机号码，发送准确率100%，支持短信发送状态实时查询；</w:t>
            </w:r>
          </w:p>
          <w:p w14:paraId="0804987F">
            <w:pPr>
              <w:keepNext/>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6．取件提醒短信需包含案件核心取件相关信息，至少包含案件编号、取件地点、取件时间、联系方式，短信格式规范、内容清晰易懂。</w:t>
            </w:r>
          </w:p>
        </w:tc>
      </w:tr>
    </w:tbl>
    <w:p w14:paraId="49C833BB">
      <w:pPr>
        <w:spacing w:after="48" w:line="240" w:lineRule="auto"/>
        <w:ind w:firstLine="480"/>
        <w:rPr>
          <w:rFonts w:ascii="Times New Roman" w:hAnsi="Times New Roman" w:eastAsia="宋体" w:cs="Times New Roman"/>
          <w:sz w:val="24"/>
        </w:rPr>
      </w:pPr>
    </w:p>
    <w:p w14:paraId="2D81F5B4">
      <w:pPr>
        <w:pStyle w:val="4"/>
        <w:spacing w:before="120" w:after="48"/>
      </w:pPr>
      <w:r>
        <w:rPr>
          <w:rFonts w:hint="eastAsia"/>
        </w:rPr>
        <w:t>协同办公管理服务－协同办案助手</w:t>
      </w:r>
    </w:p>
    <w:tbl>
      <w:tblPr>
        <w:tblStyle w:val="8"/>
        <w:tblW w:w="5283" w:type="pct"/>
        <w:tblInd w:w="-2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797"/>
        <w:gridCol w:w="1651"/>
        <w:gridCol w:w="6581"/>
      </w:tblGrid>
      <w:tr w14:paraId="1F51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441" w:type="pct"/>
            <w:noWrap w:val="0"/>
            <w:tcMar>
              <w:top w:w="120" w:type="dxa"/>
              <w:left w:w="120" w:type="dxa"/>
              <w:bottom w:w="120" w:type="dxa"/>
              <w:right w:w="120" w:type="dxa"/>
            </w:tcMar>
            <w:vAlign w:val="center"/>
          </w:tcPr>
          <w:p w14:paraId="408F2C6E">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序号</w:t>
            </w:r>
          </w:p>
        </w:tc>
        <w:tc>
          <w:tcPr>
            <w:tcW w:w="914" w:type="pct"/>
            <w:noWrap w:val="0"/>
            <w:tcMar>
              <w:top w:w="120" w:type="dxa"/>
              <w:left w:w="120" w:type="dxa"/>
              <w:bottom w:w="120" w:type="dxa"/>
              <w:right w:w="120" w:type="dxa"/>
            </w:tcMar>
            <w:vAlign w:val="center"/>
          </w:tcPr>
          <w:p w14:paraId="1647502D">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技术参数项</w:t>
            </w:r>
          </w:p>
        </w:tc>
        <w:tc>
          <w:tcPr>
            <w:tcW w:w="3643" w:type="pct"/>
            <w:noWrap w:val="0"/>
            <w:tcMar>
              <w:top w:w="120" w:type="dxa"/>
              <w:left w:w="120" w:type="dxa"/>
              <w:bottom w:w="120" w:type="dxa"/>
              <w:right w:w="120" w:type="dxa"/>
            </w:tcMar>
            <w:vAlign w:val="center"/>
          </w:tcPr>
          <w:p w14:paraId="67300710">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指标要求</w:t>
            </w:r>
          </w:p>
        </w:tc>
      </w:tr>
      <w:tr w14:paraId="4C90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441" w:type="pct"/>
            <w:noWrap w:val="0"/>
            <w:tcMar>
              <w:top w:w="120" w:type="dxa"/>
              <w:left w:w="120" w:type="dxa"/>
              <w:bottom w:w="120" w:type="dxa"/>
              <w:right w:w="120" w:type="dxa"/>
            </w:tcMar>
            <w:vAlign w:val="center"/>
          </w:tcPr>
          <w:p w14:paraId="3C806F6D">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1)</w:t>
            </w:r>
          </w:p>
        </w:tc>
        <w:tc>
          <w:tcPr>
            <w:tcW w:w="914" w:type="pct"/>
            <w:noWrap w:val="0"/>
            <w:tcMar>
              <w:top w:w="120" w:type="dxa"/>
              <w:left w:w="120" w:type="dxa"/>
              <w:bottom w:w="120" w:type="dxa"/>
              <w:right w:w="120" w:type="dxa"/>
            </w:tcMar>
            <w:vAlign w:val="center"/>
          </w:tcPr>
          <w:p w14:paraId="44456853">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案件基础信息管理模块</w:t>
            </w:r>
          </w:p>
        </w:tc>
        <w:tc>
          <w:tcPr>
            <w:tcW w:w="3643" w:type="pct"/>
            <w:noWrap w:val="0"/>
            <w:tcMar>
              <w:top w:w="120" w:type="dxa"/>
              <w:left w:w="120" w:type="dxa"/>
              <w:bottom w:w="120" w:type="dxa"/>
              <w:right w:w="120" w:type="dxa"/>
            </w:tcMar>
            <w:vAlign w:val="center"/>
          </w:tcPr>
          <w:p w14:paraId="553E3C7B">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1.案件信息聚合：支持全维度核心案件信息整合，可一键调取案号、当事人信息、案由、承办法官、书记员、受理时间、当前审理阶段等核心数据，无需跨“一张网”系统与档案系统切换查询；</w:t>
            </w:r>
          </w:p>
          <w:p w14:paraId="71DC6873">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2.案件背景全景展示：同步呈现诉讼请求、事实与理由等关键背景内容，信息展示完整无遗漏，助力法官快速掌握案件全貌。</w:t>
            </w:r>
          </w:p>
        </w:tc>
      </w:tr>
      <w:tr w14:paraId="493B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441" w:type="pct"/>
            <w:noWrap w:val="0"/>
            <w:tcMar>
              <w:top w:w="120" w:type="dxa"/>
              <w:left w:w="120" w:type="dxa"/>
              <w:bottom w:w="120" w:type="dxa"/>
              <w:right w:w="120" w:type="dxa"/>
            </w:tcMar>
            <w:vAlign w:val="center"/>
          </w:tcPr>
          <w:p w14:paraId="7131BA88">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2)</w:t>
            </w:r>
          </w:p>
        </w:tc>
        <w:tc>
          <w:tcPr>
            <w:tcW w:w="914" w:type="pct"/>
            <w:noWrap w:val="0"/>
            <w:tcMar>
              <w:top w:w="120" w:type="dxa"/>
              <w:left w:w="120" w:type="dxa"/>
              <w:bottom w:w="120" w:type="dxa"/>
              <w:right w:w="120" w:type="dxa"/>
            </w:tcMar>
            <w:vAlign w:val="center"/>
          </w:tcPr>
          <w:p w14:paraId="4739FB08">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消息与通知智能管控模块</w:t>
            </w:r>
          </w:p>
        </w:tc>
        <w:tc>
          <w:tcPr>
            <w:tcW w:w="3643" w:type="pct"/>
            <w:noWrap w:val="0"/>
            <w:tcMar>
              <w:top w:w="120" w:type="dxa"/>
              <w:left w:w="120" w:type="dxa"/>
              <w:bottom w:w="120" w:type="dxa"/>
              <w:right w:w="120" w:type="dxa"/>
            </w:tcMar>
            <w:vAlign w:val="center"/>
          </w:tcPr>
          <w:p w14:paraId="2F020A05">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1.材料动态精准推送：支持全流程联动触发，扫描岗完成材料编目并生成带二维码的面单后，扫码即可即时向承办法官推送标准化消息，消息内容包含“案号+材料类型+针对性操作建议”；</w:t>
            </w:r>
          </w:p>
          <w:p w14:paraId="6B537DE4">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2.关键节点订阅通知：支持个性化订阅机制，法官可自主订阅“保全审查/撤诉申请/开庭通知/结案归档”等核心节点，仅推送关注的关键信息，可自定义订阅范围，杜绝节点遗漏；</w:t>
            </w:r>
          </w:p>
          <w:p w14:paraId="65B29F01">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3.实时消息集中管控：支持消息全量聚合，统一接收案件进度更新、待办事项提醒、审批结果反馈等实时消息，列表清晰标注通知类型、发送时间及阅读状态（未读/已读），支持未读消息提醒。</w:t>
            </w:r>
          </w:p>
        </w:tc>
      </w:tr>
      <w:tr w14:paraId="542F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441" w:type="pct"/>
            <w:noWrap w:val="0"/>
            <w:tcMar>
              <w:top w:w="120" w:type="dxa"/>
              <w:left w:w="120" w:type="dxa"/>
              <w:bottom w:w="120" w:type="dxa"/>
              <w:right w:w="120" w:type="dxa"/>
            </w:tcMar>
            <w:vAlign w:val="center"/>
          </w:tcPr>
          <w:p w14:paraId="786AD91E">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3)</w:t>
            </w:r>
          </w:p>
        </w:tc>
        <w:tc>
          <w:tcPr>
            <w:tcW w:w="914" w:type="pct"/>
            <w:noWrap w:val="0"/>
            <w:tcMar>
              <w:top w:w="120" w:type="dxa"/>
              <w:left w:w="120" w:type="dxa"/>
              <w:bottom w:w="120" w:type="dxa"/>
              <w:right w:w="120" w:type="dxa"/>
            </w:tcMar>
            <w:vAlign w:val="center"/>
          </w:tcPr>
          <w:p w14:paraId="05FC1265">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材料流转全流程管控模块</w:t>
            </w:r>
          </w:p>
        </w:tc>
        <w:tc>
          <w:tcPr>
            <w:tcW w:w="3643" w:type="pct"/>
            <w:noWrap w:val="0"/>
            <w:tcMar>
              <w:top w:w="120" w:type="dxa"/>
              <w:left w:w="120" w:type="dxa"/>
              <w:bottom w:w="120" w:type="dxa"/>
              <w:right w:w="120" w:type="dxa"/>
            </w:tcMar>
            <w:vAlign w:val="center"/>
          </w:tcPr>
          <w:p w14:paraId="7357DC23">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1.全流程流转操作覆盖：支持案件材料的借阅申请、审批、归还登记、归档确认等全流程操作，实现流转环节闭环管理，操作流程可追溯，无遗漏环节；</w:t>
            </w:r>
          </w:p>
          <w:p w14:paraId="137B81B1">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2.流转轨迹可视化追溯：支持一键查询材料批次号、材料名称、流转类型（入库/借阅/归档/出库）、操作人、操作时间、流转状态及备注信息，轨迹透明可追溯，确保责任可界定；</w:t>
            </w:r>
          </w:p>
          <w:p w14:paraId="30D63F36">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3.精准检索定位：支持多维度筛选查询，可通过“材料批次号+流转状态”组合筛选，快速定位目标材料，检索准确率≥99.9%。</w:t>
            </w:r>
          </w:p>
        </w:tc>
      </w:tr>
      <w:tr w14:paraId="3FD6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441" w:type="pct"/>
            <w:noWrap w:val="0"/>
            <w:tcMar>
              <w:top w:w="120" w:type="dxa"/>
              <w:left w:w="120" w:type="dxa"/>
              <w:bottom w:w="120" w:type="dxa"/>
              <w:right w:w="120" w:type="dxa"/>
            </w:tcMar>
            <w:vAlign w:val="center"/>
          </w:tcPr>
          <w:p w14:paraId="7792BC86">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4)</w:t>
            </w:r>
          </w:p>
        </w:tc>
        <w:tc>
          <w:tcPr>
            <w:tcW w:w="914" w:type="pct"/>
            <w:noWrap w:val="0"/>
            <w:tcMar>
              <w:top w:w="120" w:type="dxa"/>
              <w:left w:w="120" w:type="dxa"/>
              <w:bottom w:w="120" w:type="dxa"/>
              <w:right w:w="120" w:type="dxa"/>
            </w:tcMar>
            <w:vAlign w:val="center"/>
          </w:tcPr>
          <w:p w14:paraId="6909577B">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事务与流程协同模块</w:t>
            </w:r>
          </w:p>
        </w:tc>
        <w:tc>
          <w:tcPr>
            <w:tcW w:w="3643" w:type="pct"/>
            <w:noWrap w:val="0"/>
            <w:tcMar>
              <w:top w:w="120" w:type="dxa"/>
              <w:left w:w="120" w:type="dxa"/>
              <w:bottom w:w="120" w:type="dxa"/>
              <w:right w:w="120" w:type="dxa"/>
            </w:tcMar>
            <w:vAlign w:val="center"/>
          </w:tcPr>
          <w:p w14:paraId="5144792D">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1.事务流程自定义配置：支持可视化流程编排，可对“调解－质证－庭审－归档”等事务流程进行增删改查，通过表格式流程图工具灵活组合流程节点，适配不同案件类型的办案场景需求，流程编辑操作便捷；</w:t>
            </w:r>
          </w:p>
          <w:p w14:paraId="1E9CE37A">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2.跨部门协同联动：支持法官、书记员、行政人员等多角色实时查看事务流程推进进度，实现跨岗位协作信息同步，减少沟通成本，提升协同效率。</w:t>
            </w:r>
          </w:p>
        </w:tc>
      </w:tr>
      <w:tr w14:paraId="1E5E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441" w:type="pct"/>
            <w:noWrap w:val="0"/>
            <w:tcMar>
              <w:top w:w="120" w:type="dxa"/>
              <w:left w:w="120" w:type="dxa"/>
              <w:bottom w:w="120" w:type="dxa"/>
              <w:right w:w="120" w:type="dxa"/>
            </w:tcMar>
            <w:vAlign w:val="center"/>
          </w:tcPr>
          <w:p w14:paraId="402B04E5">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5)</w:t>
            </w:r>
          </w:p>
        </w:tc>
        <w:tc>
          <w:tcPr>
            <w:tcW w:w="914" w:type="pct"/>
            <w:noWrap w:val="0"/>
            <w:tcMar>
              <w:top w:w="120" w:type="dxa"/>
              <w:left w:w="120" w:type="dxa"/>
              <w:bottom w:w="120" w:type="dxa"/>
              <w:right w:w="120" w:type="dxa"/>
            </w:tcMar>
            <w:vAlign w:val="center"/>
          </w:tcPr>
          <w:p w14:paraId="144159E9">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审理进度可视化模块</w:t>
            </w:r>
          </w:p>
        </w:tc>
        <w:tc>
          <w:tcPr>
            <w:tcW w:w="3643" w:type="pct"/>
            <w:noWrap w:val="0"/>
            <w:tcMar>
              <w:top w:w="120" w:type="dxa"/>
              <w:left w:w="120" w:type="dxa"/>
              <w:bottom w:w="120" w:type="dxa"/>
              <w:right w:w="120" w:type="dxa"/>
            </w:tcMar>
            <w:vAlign w:val="center"/>
          </w:tcPr>
          <w:p w14:paraId="3BD87420">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支持全阶段进度查询，呈现案件从受理、调解、庭审到结案的全审理流程，实时查询各阶段办理状态，直观展示推进节点，有效规避流程延误。</w:t>
            </w:r>
          </w:p>
        </w:tc>
      </w:tr>
      <w:tr w14:paraId="58F9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441" w:type="pct"/>
            <w:noWrap w:val="0"/>
            <w:tcMar>
              <w:top w:w="120" w:type="dxa"/>
              <w:left w:w="120" w:type="dxa"/>
              <w:bottom w:w="120" w:type="dxa"/>
              <w:right w:w="120" w:type="dxa"/>
            </w:tcMar>
            <w:vAlign w:val="center"/>
          </w:tcPr>
          <w:p w14:paraId="5E55CE91">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6)</w:t>
            </w:r>
          </w:p>
        </w:tc>
        <w:tc>
          <w:tcPr>
            <w:tcW w:w="914" w:type="pct"/>
            <w:noWrap w:val="0"/>
            <w:tcMar>
              <w:top w:w="120" w:type="dxa"/>
              <w:left w:w="120" w:type="dxa"/>
              <w:bottom w:w="120" w:type="dxa"/>
              <w:right w:w="120" w:type="dxa"/>
            </w:tcMar>
            <w:vAlign w:val="center"/>
          </w:tcPr>
          <w:p w14:paraId="0A92877E">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立案协同管理模块</w:t>
            </w:r>
          </w:p>
        </w:tc>
        <w:tc>
          <w:tcPr>
            <w:tcW w:w="3643" w:type="pct"/>
            <w:noWrap w:val="0"/>
            <w:tcMar>
              <w:top w:w="120" w:type="dxa"/>
              <w:left w:w="120" w:type="dxa"/>
              <w:bottom w:w="120" w:type="dxa"/>
              <w:right w:w="120" w:type="dxa"/>
            </w:tcMar>
            <w:vAlign w:val="center"/>
          </w:tcPr>
          <w:p w14:paraId="5021EADC">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支持数据实时协同，在平台完成立案信息录入后，可超链至“全国法院一张网”系统，实现立案数据与材料信息同源一致，打破信息孤岛，保障立案环节规范高效。</w:t>
            </w:r>
          </w:p>
        </w:tc>
      </w:tr>
      <w:tr w14:paraId="74A6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441" w:type="pct"/>
            <w:noWrap w:val="0"/>
            <w:tcMar>
              <w:top w:w="120" w:type="dxa"/>
              <w:left w:w="120" w:type="dxa"/>
              <w:bottom w:w="120" w:type="dxa"/>
              <w:right w:w="120" w:type="dxa"/>
            </w:tcMar>
            <w:vAlign w:val="center"/>
          </w:tcPr>
          <w:p w14:paraId="0D226257">
            <w:pPr>
              <w:widowControl/>
              <w:spacing w:before="120" w:after="48" w:line="240" w:lineRule="auto"/>
              <w:ind w:firstLine="0" w:firstLineChars="0"/>
              <w:jc w:val="center"/>
              <w:rPr>
                <w:rFonts w:ascii="微软雅黑" w:hAnsi="微软雅黑" w:cs="微软雅黑"/>
                <w:kern w:val="0"/>
                <w:szCs w:val="21"/>
              </w:rPr>
            </w:pPr>
            <w:bookmarkStart w:id="15" w:name="_Hlk223177045"/>
            <w:r>
              <w:rPr>
                <w:rFonts w:hint="eastAsia" w:ascii="微软雅黑" w:hAnsi="微软雅黑" w:cs="微软雅黑"/>
                <w:kern w:val="0"/>
                <w:szCs w:val="21"/>
              </w:rPr>
              <w:t>7)</w:t>
            </w:r>
          </w:p>
        </w:tc>
        <w:tc>
          <w:tcPr>
            <w:tcW w:w="914" w:type="pct"/>
            <w:noWrap w:val="0"/>
            <w:tcMar>
              <w:top w:w="120" w:type="dxa"/>
              <w:left w:w="120" w:type="dxa"/>
              <w:bottom w:w="120" w:type="dxa"/>
              <w:right w:w="120" w:type="dxa"/>
            </w:tcMar>
            <w:vAlign w:val="center"/>
          </w:tcPr>
          <w:p w14:paraId="6447020F">
            <w:pPr>
              <w:widowControl/>
              <w:spacing w:before="120" w:after="48" w:line="240" w:lineRule="auto"/>
              <w:ind w:firstLine="0" w:firstLineChars="0"/>
              <w:jc w:val="center"/>
              <w:rPr>
                <w:rFonts w:ascii="微软雅黑" w:hAnsi="微软雅黑" w:cs="微软雅黑"/>
                <w:kern w:val="0"/>
                <w:szCs w:val="21"/>
              </w:rPr>
            </w:pPr>
            <w:r>
              <w:rPr>
                <w:rFonts w:hint="eastAsia" w:ascii="微软雅黑" w:hAnsi="微软雅黑" w:cs="微软雅黑"/>
                <w:kern w:val="0"/>
                <w:szCs w:val="21"/>
              </w:rPr>
              <w:t>调解全周期管理模块</w:t>
            </w:r>
          </w:p>
        </w:tc>
        <w:tc>
          <w:tcPr>
            <w:tcW w:w="3643" w:type="pct"/>
            <w:noWrap w:val="0"/>
            <w:tcMar>
              <w:top w:w="120" w:type="dxa"/>
              <w:left w:w="120" w:type="dxa"/>
              <w:bottom w:w="120" w:type="dxa"/>
              <w:right w:w="120" w:type="dxa"/>
            </w:tcMar>
            <w:vAlign w:val="center"/>
          </w:tcPr>
          <w:p w14:paraId="379B4FC0">
            <w:pPr>
              <w:widowControl/>
              <w:spacing w:before="120" w:after="48" w:line="240" w:lineRule="auto"/>
              <w:ind w:firstLine="0" w:firstLineChars="0"/>
              <w:jc w:val="left"/>
              <w:rPr>
                <w:rFonts w:ascii="微软雅黑" w:hAnsi="微软雅黑" w:cs="微软雅黑"/>
                <w:kern w:val="0"/>
                <w:szCs w:val="21"/>
              </w:rPr>
            </w:pPr>
            <w:r>
              <w:rPr>
                <w:rFonts w:hint="eastAsia" w:ascii="微软雅黑" w:hAnsi="微软雅黑" w:cs="微软雅黑"/>
                <w:kern w:val="0"/>
                <w:szCs w:val="21"/>
              </w:rPr>
              <w:t>调解信息协同、阅卷与调解协议标准化制作。</w:t>
            </w:r>
          </w:p>
        </w:tc>
      </w:tr>
      <w:bookmarkEnd w:id="14"/>
      <w:bookmarkEnd w:id="15"/>
    </w:tbl>
    <w:p w14:paraId="19A47FBD">
      <w:pPr>
        <w:spacing w:after="48"/>
        <w:ind w:firstLine="720"/>
        <w:rPr>
          <w:rFonts w:ascii="Arial" w:hAnsi="Arial" w:eastAsia="等线" w:cs="Arial"/>
          <w:b/>
          <w:sz w:val="36"/>
        </w:rPr>
      </w:pPr>
      <w:bookmarkStart w:id="16" w:name="heading_17"/>
      <w:r>
        <w:rPr>
          <w:rFonts w:ascii="Arial" w:hAnsi="Arial" w:eastAsia="等线" w:cs="Arial"/>
          <w:b/>
          <w:sz w:val="36"/>
        </w:rPr>
        <w:br w:type="page"/>
      </w:r>
    </w:p>
    <w:p w14:paraId="30132BBA">
      <w:pPr>
        <w:pStyle w:val="3"/>
        <w:spacing w:before="120" w:after="48"/>
      </w:pPr>
      <w:bookmarkStart w:id="17" w:name="OLE_LINK1"/>
      <w:bookmarkStart w:id="18" w:name="OLE_LINK2"/>
      <w:r>
        <w:rPr>
          <w:rFonts w:hint="eastAsia"/>
        </w:rPr>
        <w:t>纸质材料全流程收转及中间库出入库管理配套服务</w:t>
      </w:r>
      <w:bookmarkEnd w:id="16"/>
      <w:bookmarkEnd w:id="17"/>
      <w:bookmarkEnd w:id="18"/>
      <w:r>
        <w:rPr>
          <w:rFonts w:hint="eastAsia"/>
        </w:rPr>
        <w:t>（必备配套服务）</w:t>
      </w:r>
    </w:p>
    <w:p w14:paraId="5AF17707">
      <w:pPr>
        <w:widowControl/>
        <w:adjustRightInd/>
        <w:snapToGrid/>
        <w:spacing w:after="0" w:afterLines="0" w:line="240" w:lineRule="auto"/>
        <w:ind w:firstLine="0" w:firstLineChars="0"/>
        <w:jc w:val="left"/>
      </w:pPr>
    </w:p>
    <w:p w14:paraId="1E8659B1">
      <w:pPr>
        <w:spacing w:after="48"/>
        <w:ind w:firstLine="420"/>
      </w:pPr>
      <w:r>
        <w:rPr>
          <w:rFonts w:hint="eastAsia"/>
        </w:rPr>
        <w:t>供应商需提供智慧中间库配套现场服务，配备专业服务人员，严格遵循肇庆市中级人民法院相关管理规定，完成纸质材料收转、中间库出入库管理、卷宗借阅归还管理、系统设备日常操作等全流程服务，保障中间库高效、规范、安全运行，具体需求及对应岗位要求如下：</w:t>
      </w:r>
    </w:p>
    <w:p w14:paraId="1C36D9E8">
      <w:pPr>
        <w:spacing w:after="48"/>
        <w:ind w:firstLine="420"/>
      </w:pPr>
    </w:p>
    <w:p w14:paraId="47E2C807">
      <w:pPr>
        <w:pStyle w:val="4"/>
        <w:spacing w:before="120" w:after="48"/>
      </w:pPr>
      <w:r>
        <w:rPr>
          <w:rFonts w:hint="eastAsia"/>
        </w:rPr>
        <w:t>服务内容需求（2年）</w:t>
      </w:r>
    </w:p>
    <w:p w14:paraId="1AD173C4">
      <w:pPr>
        <w:spacing w:after="48"/>
        <w:ind w:firstLine="420"/>
      </w:pPr>
    </w:p>
    <w:p w14:paraId="49B422D4">
      <w:pPr>
        <w:pStyle w:val="5"/>
        <w:spacing w:before="120" w:after="48"/>
      </w:pPr>
      <w:r>
        <w:rPr>
          <w:rFonts w:hint="eastAsia"/>
        </w:rPr>
        <w:t>纸质材料全流程收转服务</w:t>
      </w:r>
    </w:p>
    <w:p w14:paraId="4F3088DD">
      <w:pPr>
        <w:spacing w:after="48"/>
        <w:ind w:firstLine="420"/>
      </w:pPr>
    </w:p>
    <w:p w14:paraId="1CBF4968">
      <w:pPr>
        <w:spacing w:after="48"/>
        <w:ind w:firstLine="420"/>
      </w:pPr>
      <w:r>
        <w:rPr>
          <w:rFonts w:hint="eastAsia"/>
        </w:rPr>
        <w:t>服务人员需按照法院规定时段，对全院各审判业务庭、诉讼服务中心、执行局等部门开展定时巡楼收发材料工作，全面负责诉讼材料、文书、卷宗的接收、登记、分类、分拣、传递、移交等全环节操作，确保所有材料流转及时、准确、安全，无遗漏、无延误，严格契合法院诉讼材料管理规范。</w:t>
      </w:r>
    </w:p>
    <w:p w14:paraId="45CA6C76">
      <w:pPr>
        <w:spacing w:after="48"/>
        <w:ind w:firstLine="420"/>
      </w:pPr>
    </w:p>
    <w:p w14:paraId="260A931B">
      <w:pPr>
        <w:pStyle w:val="5"/>
        <w:spacing w:before="120" w:after="48"/>
      </w:pPr>
      <w:r>
        <w:rPr>
          <w:rFonts w:hint="eastAsia"/>
        </w:rPr>
        <w:t>中间库出入库管理服务</w:t>
      </w:r>
    </w:p>
    <w:p w14:paraId="75257D30">
      <w:pPr>
        <w:spacing w:after="48"/>
        <w:ind w:firstLine="420"/>
      </w:pPr>
    </w:p>
    <w:p w14:paraId="48359724">
      <w:pPr>
        <w:spacing w:after="48"/>
        <w:ind w:firstLine="420"/>
      </w:pPr>
      <w:r>
        <w:rPr>
          <w:rFonts w:hint="eastAsia"/>
        </w:rPr>
        <w:t>依托智慧中间库智能设备及配套软件系统，负责卷宗及纸质材料入库、上架、定位、出库、调取、移交等全流程操作。严格执行扫码登记、信息核验、数据同步等管理要求，确保卷宗及材料账物相符，所有操作全程留痕、可查可溯，符合省高院中间库管理相关标准。</w:t>
      </w:r>
    </w:p>
    <w:p w14:paraId="63DF268E">
      <w:pPr>
        <w:spacing w:after="48"/>
        <w:ind w:firstLine="420"/>
      </w:pPr>
    </w:p>
    <w:p w14:paraId="45F4B70B">
      <w:pPr>
        <w:pStyle w:val="5"/>
        <w:spacing w:before="120" w:after="48"/>
      </w:pPr>
      <w:r>
        <w:rPr>
          <w:rFonts w:hint="eastAsia"/>
        </w:rPr>
        <w:t>卷宗借阅与归还管理服务</w:t>
      </w:r>
    </w:p>
    <w:p w14:paraId="67C66B1E">
      <w:pPr>
        <w:spacing w:after="48"/>
        <w:ind w:firstLine="420"/>
      </w:pPr>
    </w:p>
    <w:p w14:paraId="100DB6B9">
      <w:pPr>
        <w:spacing w:after="48"/>
        <w:ind w:firstLine="420"/>
      </w:pPr>
      <w:r>
        <w:rPr>
          <w:rFonts w:hint="eastAsia"/>
        </w:rPr>
        <w:t>严格依照肇庆市中级人民法院卷宗管理规定，规范办理卷宗借阅登记、审批核验、归还签收、超期催还等相关手续。实时更新系统台账及纸质台账，定期开展卷宗盘点工作，确保卷宗管理规范有序，杜绝卷宗丢失、损毁、逾期未还等情况发生。</w:t>
      </w:r>
    </w:p>
    <w:p w14:paraId="74F305B7">
      <w:pPr>
        <w:spacing w:after="48"/>
        <w:ind w:firstLine="420"/>
      </w:pPr>
    </w:p>
    <w:p w14:paraId="0878DF5B">
      <w:pPr>
        <w:pStyle w:val="5"/>
        <w:spacing w:before="120" w:after="48"/>
      </w:pPr>
      <w:r>
        <w:rPr>
          <w:rFonts w:hint="eastAsia"/>
        </w:rPr>
        <w:t>系统与设备日常操作服务</w:t>
      </w:r>
    </w:p>
    <w:p w14:paraId="44C28E26">
      <w:pPr>
        <w:spacing w:after="48"/>
        <w:ind w:firstLine="420"/>
      </w:pPr>
    </w:p>
    <w:p w14:paraId="381A6FEA">
      <w:pPr>
        <w:spacing w:after="48"/>
        <w:ind w:firstLine="420"/>
      </w:pPr>
      <w:r>
        <w:rPr>
          <w:rFonts w:hint="eastAsia"/>
        </w:rPr>
        <w:t>服务人员需熟练操作智慧中间库智能管理系统及配套智能设备，负责设备日常使用、数据录入、运行状态检查等工作，及时上报设备及系统出现的简单故障。积极配合供应商及法院相关部门，做好系统维护、数据保障和现场环境管理工作，确保设备及系统正常稳定运行。</w:t>
      </w:r>
    </w:p>
    <w:p w14:paraId="7211AD07">
      <w:pPr>
        <w:spacing w:after="48"/>
        <w:ind w:firstLine="420"/>
      </w:pPr>
    </w:p>
    <w:p w14:paraId="26713152">
      <w:pPr>
        <w:pStyle w:val="5"/>
        <w:spacing w:before="120" w:after="48"/>
      </w:pPr>
      <w:r>
        <w:rPr>
          <w:rFonts w:hint="eastAsia"/>
        </w:rPr>
        <w:t>其他配套服务</w:t>
      </w:r>
    </w:p>
    <w:p w14:paraId="66668BBC">
      <w:pPr>
        <w:spacing w:after="48"/>
        <w:ind w:firstLine="420"/>
      </w:pPr>
    </w:p>
    <w:p w14:paraId="2964704C">
      <w:pPr>
        <w:spacing w:after="48"/>
        <w:ind w:firstLine="420"/>
      </w:pPr>
      <w:r>
        <w:rPr>
          <w:rFonts w:hint="eastAsia"/>
        </w:rPr>
        <w:t>完成肇庆市中级人民法院交办的其他与材料收转、卷宗管理相关的工作任务，服从法院相关工作安排，主动配合法院做好中间库管理相关协同工作，提升服务质量与效率。</w:t>
      </w:r>
    </w:p>
    <w:p w14:paraId="4EDDC33A">
      <w:pPr>
        <w:spacing w:after="48"/>
        <w:ind w:firstLine="420"/>
      </w:pPr>
    </w:p>
    <w:p w14:paraId="7E3B34C8">
      <w:pPr>
        <w:pStyle w:val="4"/>
        <w:spacing w:before="120" w:after="48"/>
      </w:pPr>
      <w:r>
        <w:rPr>
          <w:rFonts w:hint="eastAsia"/>
        </w:rPr>
        <w:t>对应岗位要求</w:t>
      </w:r>
    </w:p>
    <w:p w14:paraId="569692A6">
      <w:pPr>
        <w:spacing w:after="48"/>
        <w:ind w:firstLine="420"/>
      </w:pPr>
    </w:p>
    <w:p w14:paraId="279BF85D">
      <w:pPr>
        <w:spacing w:after="48"/>
        <w:ind w:firstLine="420"/>
      </w:pPr>
      <w:r>
        <w:rPr>
          <w:rFonts w:hint="eastAsia"/>
        </w:rPr>
        <w:t>供应商需为本次服务配备足额、专业的服务人员，明确岗位分工，所有人员需满足以下要求，确保服务质量达标：</w:t>
      </w:r>
    </w:p>
    <w:p w14:paraId="07615363">
      <w:pPr>
        <w:spacing w:after="48"/>
        <w:ind w:firstLine="420"/>
      </w:pPr>
      <w:r>
        <w:rPr>
          <w:rFonts w:hint="eastAsia"/>
        </w:rPr>
        <w:t>基本要求：拥护中华人民共和国宪法，遵守国家法律法规，品行端正，责任心强，无违法违纪记录，具备专科及以上学历，严格遵守肇庆市中级人民法院各项规章制度及保密规定，服从法院工作安排。</w:t>
      </w:r>
    </w:p>
    <w:p w14:paraId="39ED18D6">
      <w:pPr>
        <w:spacing w:after="48"/>
        <w:ind w:firstLine="420"/>
      </w:pPr>
      <w:r>
        <w:rPr>
          <w:rFonts w:hint="eastAsia"/>
        </w:rPr>
        <w:t>专业能力：具备良好的沟通协调能力和执行力，熟悉法院卷宗管理、材料收转相关流程优先；能够熟练操作计算机及各类办公软件，快速掌握智慧中间库智能管理系统及配套设备的操作方法，具备基础的设备故障识别和上报能力。</w:t>
      </w:r>
    </w:p>
    <w:p w14:paraId="29EB8C71">
      <w:pPr>
        <w:spacing w:after="48"/>
        <w:ind w:firstLine="420"/>
      </w:pPr>
      <w:r>
        <w:rPr>
          <w:rFonts w:hint="eastAsia"/>
        </w:rPr>
        <w:t>职业素养：工作严谨细致、认真负责，具备较强的保密意识，严禁泄露法院工作秘密、卷宗信息及相关数据；具备良好的服务意识，对待工作耐心细致，主动配合法院各部门开展工作。</w:t>
      </w:r>
    </w:p>
    <w:p w14:paraId="63600EB0">
      <w:pPr>
        <w:spacing w:after="48"/>
        <w:ind w:firstLine="420"/>
      </w:pPr>
      <w:r>
        <w:rPr>
          <w:rFonts w:hint="eastAsia"/>
        </w:rPr>
        <w:t>人员稳定性：服务期间，服务人员需相对稳定，未经肇庆市中级人民法院书面同意，不得擅自更换服务人员；若确需更换，需提前提交书面申请，确保新更换人员资质符合本岗位要求，且完成工作交接，不影响服务正常开展。</w:t>
      </w:r>
    </w:p>
    <w:p w14:paraId="7927804C">
      <w:pPr>
        <w:spacing w:after="48"/>
        <w:ind w:firstLine="420"/>
      </w:pPr>
      <w:r>
        <w:rPr>
          <w:rFonts w:hint="eastAsia"/>
        </w:rPr>
        <w:t>其他要求：身体健康，能适应岗位工作强度，满足定时巡楼、材料收发、卷宗整理等工作需求；严格遵守肇庆市中级人民法院作息时间，做到与法院作息完全同步，按时到岗离岗，无特殊情况不得擅自离岗、迟到、早退，确保服务时段全覆盖，不影响法院日常工作开展；具备相关从业经验者优先，上岗前需接受法院及供应商组织的专项培训，考核合格后方可开展工作。</w:t>
      </w:r>
    </w:p>
    <w:p w14:paraId="75677661">
      <w:pPr>
        <w:spacing w:after="48"/>
        <w:ind w:firstLine="420"/>
      </w:pPr>
    </w:p>
    <w:p w14:paraId="109086FF">
      <w:pPr>
        <w:spacing w:after="48"/>
        <w:ind w:firstLine="420"/>
      </w:pPr>
    </w:p>
    <w:p w14:paraId="69BE7107">
      <w:pPr>
        <w:spacing w:after="48"/>
        <w:ind w:firstLine="420"/>
      </w:pPr>
    </w:p>
    <w:p w14:paraId="3CD91EB5">
      <w:pPr>
        <w:spacing w:after="48"/>
        <w:jc w:val="right"/>
        <w:rPr>
          <w:sz w:val="28"/>
          <w:szCs w:val="28"/>
        </w:rPr>
      </w:pPr>
      <w:r>
        <w:rPr>
          <w:sz w:val="28"/>
          <w:szCs w:val="28"/>
        </w:rPr>
        <w:t>肇庆市中级人民法院</w:t>
      </w:r>
    </w:p>
    <w:p w14:paraId="0EE22FF9">
      <w:pPr>
        <w:spacing w:after="48"/>
        <w:jc w:val="right"/>
        <w:rPr>
          <w:sz w:val="28"/>
          <w:szCs w:val="28"/>
        </w:rPr>
      </w:pPr>
      <w:r>
        <w:rPr>
          <w:sz w:val="28"/>
          <w:szCs w:val="28"/>
        </w:rPr>
        <w:t>2026年3月2</w:t>
      </w:r>
      <w:r>
        <w:rPr>
          <w:rFonts w:hint="eastAsia"/>
          <w:sz w:val="28"/>
          <w:szCs w:val="28"/>
          <w:lang w:val="en-US" w:eastAsia="zh-CN"/>
        </w:rPr>
        <w:t>5</w:t>
      </w:r>
      <w:r>
        <w:rPr>
          <w:sz w:val="28"/>
          <w:szCs w:val="28"/>
        </w:rPr>
        <w:t>日</w:t>
      </w:r>
    </w:p>
    <w:p w14:paraId="37F908F5">
      <w:pPr>
        <w:spacing w:before="120" w:after="48"/>
        <w:ind w:firstLine="420"/>
        <w:jc w:val="left"/>
        <w:rPr>
          <w:rFonts w:eastAsia="等线"/>
          <w:sz w:val="28"/>
          <w:szCs w:val="28"/>
        </w:rPr>
      </w:pPr>
    </w:p>
    <w:p w14:paraId="0AF6D280"/>
    <w:sectPr>
      <w:headerReference r:id="rId5" w:type="first"/>
      <w:footerReference r:id="rId8" w:type="first"/>
      <w:headerReference r:id="rId3" w:type="default"/>
      <w:footerReference r:id="rId6" w:type="default"/>
      <w:headerReference r:id="rId4" w:type="even"/>
      <w:footerReference r:id="rId7" w:type="even"/>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Arial">
    <w:altName w:val="Times New Roman"/>
    <w:panose1 w:val="020B0604020202020204"/>
    <w:charset w:val="00"/>
    <w:family w:val="swiss"/>
    <w:pitch w:val="default"/>
    <w:sig w:usb0="E0002AFF" w:usb1="C0007843" w:usb2="00000009" w:usb3="00000000" w:csb0="400001FF" w:csb1="FFFF0000"/>
  </w:font>
  <w:font w:name="等线">
    <w:altName w:val="Noto Sans CJK SC"/>
    <w:panose1 w:val="02010600030101010101"/>
    <w:charset w:val="00"/>
    <w:family w:val="auto"/>
    <w:pitch w:val="default"/>
    <w:sig w:usb0="00000000" w:usb1="00000000" w:usb2="00000016" w:usb3="00000000" w:csb0="0004000F" w:csb1="00000000"/>
  </w:font>
  <w:font w:name="Noto Sans CJK SC">
    <w:panose1 w:val="020B05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A2F8D">
    <w:pPr>
      <w:pStyle w:val="6"/>
      <w:spacing w:after="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EF4BB">
    <w:pPr>
      <w:pStyle w:val="6"/>
      <w:spacing w:after="4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85360">
    <w:pPr>
      <w:pStyle w:val="6"/>
      <w:spacing w:after="4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786E1">
    <w:pPr>
      <w:pStyle w:val="7"/>
      <w:spacing w:after="4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8CB5A">
    <w:pPr>
      <w:pStyle w:val="7"/>
      <w:spacing w:after="4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A2AEF">
    <w:pPr>
      <w:pStyle w:val="7"/>
      <w:spacing w:after="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7B32B"/>
    <w:multiLevelType w:val="singleLevel"/>
    <w:tmpl w:val="8D67B32B"/>
    <w:lvl w:ilvl="0" w:tentative="0">
      <w:start w:val="1"/>
      <w:numFmt w:val="decimal"/>
      <w:lvlText w:val="%1."/>
      <w:lvlJc w:val="left"/>
      <w:pPr>
        <w:tabs>
          <w:tab w:val="left" w:pos="312"/>
        </w:tabs>
      </w:pPr>
    </w:lvl>
  </w:abstractNum>
  <w:abstractNum w:abstractNumId="1">
    <w:nsid w:val="B41146A7"/>
    <w:multiLevelType w:val="singleLevel"/>
    <w:tmpl w:val="B41146A7"/>
    <w:lvl w:ilvl="0" w:tentative="0">
      <w:start w:val="1"/>
      <w:numFmt w:val="decimal"/>
      <w:lvlText w:val="%1."/>
      <w:lvlJc w:val="left"/>
      <w:pPr>
        <w:tabs>
          <w:tab w:val="left" w:pos="312"/>
        </w:tabs>
      </w:pPr>
    </w:lvl>
  </w:abstractNum>
  <w:abstractNum w:abstractNumId="2">
    <w:nsid w:val="DB50B370"/>
    <w:multiLevelType w:val="singleLevel"/>
    <w:tmpl w:val="DB50B370"/>
    <w:lvl w:ilvl="0" w:tentative="0">
      <w:start w:val="1"/>
      <w:numFmt w:val="decimal"/>
      <w:lvlText w:val="%1."/>
      <w:lvlJc w:val="left"/>
      <w:pPr>
        <w:tabs>
          <w:tab w:val="left" w:pos="312"/>
        </w:tabs>
      </w:pPr>
    </w:lvl>
  </w:abstractNum>
  <w:abstractNum w:abstractNumId="3">
    <w:nsid w:val="EB8B6A95"/>
    <w:multiLevelType w:val="singleLevel"/>
    <w:tmpl w:val="EB8B6A95"/>
    <w:lvl w:ilvl="0" w:tentative="0">
      <w:start w:val="1"/>
      <w:numFmt w:val="decimal"/>
      <w:lvlText w:val="%1."/>
      <w:lvlJc w:val="left"/>
      <w:pPr>
        <w:tabs>
          <w:tab w:val="left" w:pos="312"/>
        </w:tabs>
      </w:pPr>
    </w:lvl>
  </w:abstractNum>
  <w:abstractNum w:abstractNumId="4">
    <w:nsid w:val="303746D2"/>
    <w:multiLevelType w:val="singleLevel"/>
    <w:tmpl w:val="303746D2"/>
    <w:lvl w:ilvl="0" w:tentative="0">
      <w:start w:val="1"/>
      <w:numFmt w:val="decimal"/>
      <w:lvlText w:val="%1."/>
      <w:lvlJc w:val="left"/>
      <w:pPr>
        <w:tabs>
          <w:tab w:val="left" w:pos="312"/>
        </w:tabs>
      </w:pPr>
    </w:lvl>
  </w:abstractNum>
  <w:abstractNum w:abstractNumId="5">
    <w:nsid w:val="34527DDB"/>
    <w:multiLevelType w:val="singleLevel"/>
    <w:tmpl w:val="34527DDB"/>
    <w:lvl w:ilvl="0" w:tentative="0">
      <w:start w:val="1"/>
      <w:numFmt w:val="decimal"/>
      <w:lvlText w:val="%1."/>
      <w:lvlJc w:val="left"/>
      <w:pPr>
        <w:tabs>
          <w:tab w:val="left" w:pos="312"/>
        </w:tabs>
      </w:pPr>
    </w:lvl>
  </w:abstractNum>
  <w:abstractNum w:abstractNumId="6">
    <w:nsid w:val="3E270DCF"/>
    <w:multiLevelType w:val="multilevel"/>
    <w:tmpl w:val="3E270DCF"/>
    <w:lvl w:ilvl="0" w:tentative="0">
      <w:start w:val="1"/>
      <w:numFmt w:val="decimal"/>
      <w:pStyle w:val="2"/>
      <w:suff w:val="space"/>
      <w:lvlText w:val="%1."/>
      <w:lvlJc w:val="left"/>
      <w:pPr>
        <w:ind w:left="0" w:firstLine="0"/>
      </w:pPr>
      <w:rPr>
        <w:rFonts w:hint="default" w:ascii="微软雅黑" w:hAnsi="微软雅黑" w:eastAsia="微软雅黑"/>
      </w:rPr>
    </w:lvl>
    <w:lvl w:ilvl="1" w:tentative="0">
      <w:start w:val="1"/>
      <w:numFmt w:val="decimal"/>
      <w:pStyle w:val="3"/>
      <w:suff w:val="space"/>
      <w:lvlText w:val="%1.%2."/>
      <w:lvlJc w:val="left"/>
      <w:pPr>
        <w:ind w:left="0" w:firstLine="0"/>
      </w:pPr>
      <w:rPr>
        <w:rFonts w:hint="default" w:ascii="微软雅黑" w:hAnsi="微软雅黑" w:eastAsia="微软雅黑"/>
      </w:rPr>
    </w:lvl>
    <w:lvl w:ilvl="2" w:tentative="0">
      <w:start w:val="1"/>
      <w:numFmt w:val="decimal"/>
      <w:pStyle w:val="4"/>
      <w:suff w:val="space"/>
      <w:lvlText w:val="%1.%2.%3."/>
      <w:lvlJc w:val="left"/>
      <w:pPr>
        <w:ind w:left="0" w:firstLine="0"/>
      </w:pPr>
      <w:rPr>
        <w:rFonts w:hint="default" w:ascii="微软雅黑" w:hAnsi="微软雅黑" w:eastAsia="微软雅黑"/>
      </w:rPr>
    </w:lvl>
    <w:lvl w:ilvl="3" w:tentative="0">
      <w:start w:val="1"/>
      <w:numFmt w:val="decimal"/>
      <w:pStyle w:val="5"/>
      <w:suff w:val="space"/>
      <w:lvlText w:val="%1.%2.%3.%4."/>
      <w:lvlJc w:val="left"/>
      <w:pPr>
        <w:ind w:left="0" w:firstLine="0"/>
      </w:pPr>
      <w:rPr>
        <w:rFonts w:hint="default" w:ascii="微软雅黑" w:hAnsi="微软雅黑" w:eastAsia="微软雅黑"/>
      </w:rPr>
    </w:lvl>
    <w:lvl w:ilvl="4" w:tentative="0">
      <w:start w:val="1"/>
      <w:numFmt w:val="decimal"/>
      <w:lvlText w:val="%1.%2.%3.%4.%5."/>
      <w:lvlJc w:val="left"/>
      <w:pPr>
        <w:tabs>
          <w:tab w:val="left" w:pos="0"/>
        </w:tabs>
        <w:ind w:left="0" w:firstLine="0"/>
      </w:pPr>
      <w:rPr>
        <w:rFonts w:hint="default" w:ascii="微软雅黑" w:hAnsi="微软雅黑" w:eastAsia="微软雅黑"/>
      </w:rPr>
    </w:lvl>
    <w:lvl w:ilvl="5" w:tentative="0">
      <w:start w:val="1"/>
      <w:numFmt w:val="decimal"/>
      <w:suff w:val="space"/>
      <w:lvlText w:val="%1.%2.%3.%4.%5.%6."/>
      <w:lvlJc w:val="left"/>
      <w:pPr>
        <w:ind w:left="0" w:firstLine="0"/>
      </w:pPr>
      <w:rPr>
        <w:rFonts w:hint="default"/>
      </w:rPr>
    </w:lvl>
    <w:lvl w:ilvl="6" w:tentative="0">
      <w:start w:val="1"/>
      <w:numFmt w:val="decimal"/>
      <w:lvlText w:val="%1.%2.%3.%4.%5.%6.%7."/>
      <w:lvlJc w:val="left"/>
      <w:pPr>
        <w:tabs>
          <w:tab w:val="left" w:pos="0"/>
        </w:tabs>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lvlText w:val="%1.%2.%3.%4.%5.%6.%7.%8.%9."/>
      <w:lvlJc w:val="left"/>
      <w:pPr>
        <w:tabs>
          <w:tab w:val="left" w:pos="0"/>
        </w:tabs>
        <w:ind w:left="0" w:firstLine="0"/>
      </w:pPr>
      <w:rPr>
        <w:rFonts w:hint="default"/>
      </w:rPr>
    </w:lvl>
  </w:abstractNum>
  <w:abstractNum w:abstractNumId="7">
    <w:nsid w:val="4B4988C1"/>
    <w:multiLevelType w:val="singleLevel"/>
    <w:tmpl w:val="4B4988C1"/>
    <w:lvl w:ilvl="0" w:tentative="0">
      <w:start w:val="1"/>
      <w:numFmt w:val="decimal"/>
      <w:lvlText w:val="%1."/>
      <w:lvlJc w:val="left"/>
      <w:pPr>
        <w:tabs>
          <w:tab w:val="left" w:pos="312"/>
        </w:tabs>
      </w:pPr>
    </w:lvl>
  </w:abstractNum>
  <w:abstractNum w:abstractNumId="8">
    <w:nsid w:val="57805228"/>
    <w:multiLevelType w:val="singleLevel"/>
    <w:tmpl w:val="57805228"/>
    <w:lvl w:ilvl="0" w:tentative="0">
      <w:start w:val="1"/>
      <w:numFmt w:val="decimal"/>
      <w:lvlText w:val="%1."/>
      <w:lvlJc w:val="left"/>
      <w:pPr>
        <w:tabs>
          <w:tab w:val="left" w:pos="312"/>
        </w:tabs>
      </w:pPr>
    </w:lvl>
  </w:abstractNum>
  <w:abstractNum w:abstractNumId="9">
    <w:nsid w:val="67A5CC38"/>
    <w:multiLevelType w:val="singleLevel"/>
    <w:tmpl w:val="67A5CC38"/>
    <w:lvl w:ilvl="0" w:tentative="0">
      <w:start w:val="1"/>
      <w:numFmt w:val="decimal"/>
      <w:suff w:val="space"/>
      <w:lvlText w:val="%1."/>
      <w:lvlJc w:val="left"/>
    </w:lvl>
  </w:abstractNum>
  <w:num w:numId="1">
    <w:abstractNumId w:val="6"/>
  </w:num>
  <w:num w:numId="2">
    <w:abstractNumId w:val="7"/>
  </w:num>
  <w:num w:numId="3">
    <w:abstractNumId w:val="9"/>
  </w:num>
  <w:num w:numId="4">
    <w:abstractNumId w:val="3"/>
  </w:num>
  <w:num w:numId="5">
    <w:abstractNumId w:val="4"/>
  </w:num>
  <w:num w:numId="6">
    <w:abstractNumId w:val="0"/>
  </w:num>
  <w:num w:numId="7">
    <w:abstractNumId w:val="5"/>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3FFFD037"/>
    <w:rsid w:val="5F76150F"/>
    <w:rsid w:val="5FF7C673"/>
    <w:rsid w:val="6731D25B"/>
    <w:rsid w:val="6DABBA6C"/>
    <w:rsid w:val="75AFAEF4"/>
    <w:rsid w:val="7FB9F763"/>
    <w:rsid w:val="B5EAED3C"/>
    <w:rsid w:val="BBEFEFBB"/>
    <w:rsid w:val="EBBED419"/>
    <w:rsid w:val="FD77F5B2"/>
    <w:rsid w:val="FF7CD7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9"/>
    <w:pPr>
      <w:keepNext/>
      <w:keepLines/>
      <w:numPr>
        <w:ilvl w:val="0"/>
        <w:numId w:val="1"/>
      </w:numPr>
      <w:tabs>
        <w:tab w:val="left" w:pos="0"/>
      </w:tabs>
      <w:adjustRightInd w:val="0"/>
      <w:snapToGrid w:val="0"/>
      <w:spacing w:before="50" w:beforeLines="50" w:after="20" w:afterLines="20" w:line="288" w:lineRule="auto"/>
      <w:outlineLvl w:val="0"/>
    </w:pPr>
    <w:rPr>
      <w:rFonts w:ascii="微软雅黑" w:hAnsi="微软雅黑" w:eastAsia="微软雅黑" w:cs="Times New Roman"/>
      <w:b/>
      <w:bCs/>
      <w:kern w:val="44"/>
      <w:sz w:val="36"/>
      <w:szCs w:val="36"/>
      <w:lang w:val="en-US" w:eastAsia="zh-CN" w:bidi="ar-SA"/>
    </w:rPr>
  </w:style>
  <w:style w:type="paragraph" w:styleId="3">
    <w:name w:val="heading 2"/>
    <w:next w:val="1"/>
    <w:unhideWhenUsed/>
    <w:qFormat/>
    <w:uiPriority w:val="9"/>
    <w:pPr>
      <w:numPr>
        <w:ilvl w:val="1"/>
        <w:numId w:val="1"/>
      </w:numPr>
      <w:tabs>
        <w:tab w:val="left" w:pos="0"/>
      </w:tabs>
      <w:adjustRightInd w:val="0"/>
      <w:snapToGrid w:val="0"/>
      <w:spacing w:before="50" w:beforeLines="50" w:after="20" w:afterLines="20" w:line="288" w:lineRule="auto"/>
      <w:outlineLvl w:val="1"/>
    </w:pPr>
    <w:rPr>
      <w:rFonts w:ascii="微软雅黑" w:hAnsi="微软雅黑" w:eastAsia="微软雅黑" w:cs="Times New Roman"/>
      <w:b/>
      <w:bCs/>
      <w:kern w:val="2"/>
      <w:sz w:val="32"/>
      <w:szCs w:val="32"/>
      <w:lang w:val="en-US" w:eastAsia="zh-CN" w:bidi="ar-SA"/>
    </w:rPr>
  </w:style>
  <w:style w:type="paragraph" w:styleId="4">
    <w:name w:val="heading 3"/>
    <w:next w:val="1"/>
    <w:unhideWhenUsed/>
    <w:qFormat/>
    <w:uiPriority w:val="9"/>
    <w:pPr>
      <w:numPr>
        <w:ilvl w:val="2"/>
        <w:numId w:val="1"/>
      </w:numPr>
      <w:tabs>
        <w:tab w:val="left" w:pos="0"/>
        <w:tab w:val="left" w:pos="312"/>
      </w:tabs>
      <w:adjustRightInd w:val="0"/>
      <w:snapToGrid w:val="0"/>
      <w:spacing w:before="50" w:beforeLines="50" w:after="20" w:afterLines="20" w:line="288" w:lineRule="auto"/>
      <w:outlineLvl w:val="2"/>
    </w:pPr>
    <w:rPr>
      <w:rFonts w:ascii="微软雅黑" w:hAnsi="微软雅黑" w:eastAsia="微软雅黑" w:cs="Times New Roman"/>
      <w:b/>
      <w:kern w:val="2"/>
      <w:sz w:val="30"/>
      <w:szCs w:val="30"/>
      <w:lang w:val="en-US" w:eastAsia="zh-CN" w:bidi="ar-SA"/>
    </w:rPr>
  </w:style>
  <w:style w:type="paragraph" w:styleId="5">
    <w:name w:val="heading 4"/>
    <w:next w:val="1"/>
    <w:unhideWhenUsed/>
    <w:qFormat/>
    <w:uiPriority w:val="9"/>
    <w:pPr>
      <w:numPr>
        <w:ilvl w:val="3"/>
        <w:numId w:val="1"/>
      </w:numPr>
      <w:tabs>
        <w:tab w:val="left" w:pos="0"/>
      </w:tabs>
      <w:adjustRightInd w:val="0"/>
      <w:snapToGrid w:val="0"/>
      <w:spacing w:before="50" w:beforeLines="50" w:after="20" w:afterLines="20" w:line="288" w:lineRule="auto"/>
      <w:outlineLvl w:val="3"/>
    </w:pPr>
    <w:rPr>
      <w:rFonts w:ascii="微软雅黑" w:hAnsi="微软雅黑" w:eastAsia="微软雅黑" w:cs="Times New Roman"/>
      <w:b/>
      <w:bCs/>
      <w:sz w:val="28"/>
      <w:szCs w:val="28"/>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6">
    <w:name w:val="footer"/>
    <w:basedOn w:val="1"/>
    <w:qFormat/>
    <w:uiPriority w:val="0"/>
    <w:pPr>
      <w:tabs>
        <w:tab w:val="center" w:pos="4153"/>
        <w:tab w:val="right" w:pos="8306"/>
      </w:tabs>
      <w:ind w:firstLine="0" w:firstLineChars="0"/>
      <w:jc w:val="left"/>
    </w:pPr>
    <w:rPr>
      <w:rFonts w:ascii="微软雅黑" w:hAnsi="微软雅黑"/>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ind w:firstLine="0" w:firstLineChars="0"/>
    </w:pPr>
    <w:rPr>
      <w:rFonts w:ascii="微软雅黑" w:hAnsi="微软雅黑"/>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30.6666666666667</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GreatWall</cp:lastModifiedBy>
  <dcterms:modified xsi:type="dcterms:W3CDTF">2026-03-26T13:22:38Z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F6A61BCA9E2267C79EC2C4691F2B8C8F_43</vt:lpwstr>
  </property>
</Properties>
</file>